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6E" w:rsidRPr="008944AC" w:rsidRDefault="006B02C9" w:rsidP="00DC7A32">
      <w:pPr>
        <w:pStyle w:val="Heading1"/>
        <w:jc w:val="both"/>
        <w:rPr>
          <w:rFonts w:asciiTheme="minorHAnsi" w:hAnsiTheme="minorHAnsi" w:cs="Arial"/>
          <w:sz w:val="24"/>
          <w:szCs w:val="24"/>
        </w:rPr>
      </w:pPr>
      <w:r>
        <w:rPr>
          <w:rFonts w:cs="Arial"/>
          <w:sz w:val="24"/>
          <w:szCs w:val="24"/>
        </w:rPr>
        <w:t xml:space="preserve">          </w:t>
      </w:r>
      <w:r>
        <w:rPr>
          <w:rFonts w:cs="Arial"/>
          <w:sz w:val="24"/>
          <w:szCs w:val="24"/>
        </w:rPr>
        <w:tab/>
      </w:r>
      <w:r>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r>
      <w:r w:rsidR="00DC7A32">
        <w:rPr>
          <w:rFonts w:cs="Arial"/>
          <w:sz w:val="24"/>
          <w:szCs w:val="24"/>
        </w:rPr>
        <w:tab/>
        <w:t xml:space="preserve">                              </w:t>
      </w:r>
      <w:r w:rsidR="00B54037" w:rsidRPr="008944AC">
        <w:rPr>
          <w:rFonts w:asciiTheme="minorHAnsi" w:hAnsiTheme="minorHAnsi" w:cs="Arial"/>
          <w:sz w:val="24"/>
          <w:szCs w:val="24"/>
        </w:rPr>
        <w:t>Appendix</w:t>
      </w:r>
      <w:r w:rsidR="000E1808" w:rsidRPr="008944AC">
        <w:rPr>
          <w:rFonts w:asciiTheme="minorHAnsi" w:hAnsiTheme="minorHAnsi" w:cs="Arial"/>
          <w:sz w:val="24"/>
          <w:szCs w:val="24"/>
        </w:rPr>
        <w:t xml:space="preserve"> </w:t>
      </w:r>
      <w:r w:rsidR="00EA4177" w:rsidRPr="008944AC">
        <w:rPr>
          <w:rFonts w:asciiTheme="minorHAnsi" w:hAnsiTheme="minorHAnsi" w:cs="Arial"/>
          <w:sz w:val="24"/>
          <w:szCs w:val="24"/>
        </w:rPr>
        <w:t>B</w:t>
      </w:r>
    </w:p>
    <w:p w:rsidR="00DE4E6E" w:rsidRPr="00B54037" w:rsidRDefault="00DE4E6E">
      <w:pPr>
        <w:pStyle w:val="Heading2"/>
        <w:jc w:val="center"/>
        <w:rPr>
          <w:rFonts w:ascii="Arial Black" w:hAnsi="Arial Black"/>
          <w:i w:val="0"/>
          <w:sz w:val="20"/>
        </w:rPr>
      </w:pPr>
      <w:r w:rsidRPr="00B54037">
        <w:rPr>
          <w:rFonts w:ascii="Arial Black" w:hAnsi="Arial Black"/>
          <w:i w:val="0"/>
          <w:sz w:val="20"/>
        </w:rPr>
        <w:t>PROVINCIAL POLICIES</w:t>
      </w:r>
    </w:p>
    <w:p w:rsidR="00DE4E6E" w:rsidRPr="00CC3AE1" w:rsidRDefault="009D2993" w:rsidP="000E1808">
      <w:pPr>
        <w:pStyle w:val="Heading5"/>
        <w:ind w:left="567" w:firstLine="0"/>
        <w:rPr>
          <w:rFonts w:ascii="Arial Rounded MT Bold" w:hAnsi="Arial Rounded MT Bold" w:cs="Arial"/>
          <w:b w:val="0"/>
          <w:smallCaps w:val="0"/>
          <w:sz w:val="20"/>
        </w:rPr>
      </w:pPr>
      <w:r>
        <w:rPr>
          <w:rFonts w:ascii="Arial Rounded MT Bold" w:hAnsi="Arial Rounded MT Bold" w:cs="Arial"/>
          <w:b w:val="0"/>
          <w:bCs/>
          <w:smallCaps w:val="0"/>
          <w:sz w:val="20"/>
        </w:rPr>
        <w:t>1360-1366 York Road</w:t>
      </w:r>
    </w:p>
    <w:tbl>
      <w:tblPr>
        <w:tblW w:w="22680" w:type="dxa"/>
        <w:tblInd w:w="738" w:type="dxa"/>
        <w:tblBorders>
          <w:top w:val="triple" w:sz="4" w:space="0" w:color="auto"/>
          <w:left w:val="triple" w:sz="4" w:space="0" w:color="auto"/>
          <w:bottom w:val="triple" w:sz="4" w:space="0" w:color="auto"/>
          <w:right w:val="triple" w:sz="4" w:space="0" w:color="auto"/>
          <w:insideH w:val="dotted" w:sz="4" w:space="0" w:color="auto"/>
          <w:insideV w:val="dotted" w:sz="4" w:space="0" w:color="auto"/>
        </w:tblBorders>
        <w:tblLook w:val="0000"/>
      </w:tblPr>
      <w:tblGrid>
        <w:gridCol w:w="14580"/>
        <w:gridCol w:w="8100"/>
      </w:tblGrid>
      <w:tr w:rsidR="00DE4E6E" w:rsidRPr="00617623" w:rsidTr="0003366F">
        <w:trPr>
          <w:trHeight w:val="130"/>
        </w:trPr>
        <w:tc>
          <w:tcPr>
            <w:tcW w:w="14580" w:type="dxa"/>
            <w:tcBorders>
              <w:top w:val="triple" w:sz="4" w:space="0" w:color="auto"/>
              <w:bottom w:val="double" w:sz="4" w:space="0" w:color="auto"/>
              <w:right w:val="single" w:sz="4" w:space="0" w:color="auto"/>
            </w:tcBorders>
            <w:vAlign w:val="center"/>
          </w:tcPr>
          <w:p w:rsidR="00094DE8" w:rsidRPr="0008143E" w:rsidRDefault="00945AEE">
            <w:pPr>
              <w:rPr>
                <w:rFonts w:cs="Arial"/>
                <w:b/>
                <w:sz w:val="18"/>
                <w:szCs w:val="18"/>
              </w:rPr>
            </w:pPr>
            <w:r w:rsidRPr="0008143E">
              <w:rPr>
                <w:rFonts w:cs="Arial"/>
                <w:b/>
                <w:sz w:val="18"/>
                <w:szCs w:val="18"/>
              </w:rPr>
              <w:t xml:space="preserve"> </w:t>
            </w:r>
          </w:p>
          <w:p w:rsidR="00DE4E6E" w:rsidRPr="0008143E" w:rsidRDefault="00945AEE">
            <w:pPr>
              <w:rPr>
                <w:rFonts w:cs="Arial"/>
                <w:b/>
                <w:bCs/>
                <w:sz w:val="18"/>
                <w:szCs w:val="18"/>
              </w:rPr>
            </w:pPr>
            <w:r w:rsidRPr="0008143E">
              <w:rPr>
                <w:rFonts w:cs="Arial"/>
                <w:b/>
                <w:bCs/>
                <w:sz w:val="18"/>
                <w:szCs w:val="18"/>
              </w:rPr>
              <w:t>POLICIES</w:t>
            </w:r>
          </w:p>
        </w:tc>
        <w:tc>
          <w:tcPr>
            <w:tcW w:w="8100" w:type="dxa"/>
            <w:tcBorders>
              <w:top w:val="triple" w:sz="4" w:space="0" w:color="auto"/>
              <w:left w:val="single" w:sz="4" w:space="0" w:color="auto"/>
              <w:bottom w:val="double" w:sz="4" w:space="0" w:color="auto"/>
            </w:tcBorders>
            <w:vAlign w:val="center"/>
          </w:tcPr>
          <w:p w:rsidR="00094DE8" w:rsidRPr="005E40B7" w:rsidRDefault="00094DE8">
            <w:pPr>
              <w:rPr>
                <w:rFonts w:cs="Arial"/>
                <w:b/>
                <w:bCs/>
                <w:sz w:val="18"/>
                <w:szCs w:val="18"/>
              </w:rPr>
            </w:pPr>
          </w:p>
          <w:p w:rsidR="00DE4E6E" w:rsidRPr="005E40B7" w:rsidRDefault="00945AEE">
            <w:pPr>
              <w:rPr>
                <w:rFonts w:cs="Arial"/>
                <w:b/>
                <w:bCs/>
                <w:sz w:val="18"/>
                <w:szCs w:val="18"/>
              </w:rPr>
            </w:pPr>
            <w:r w:rsidRPr="005E40B7">
              <w:rPr>
                <w:rFonts w:cs="Arial"/>
                <w:b/>
                <w:bCs/>
                <w:sz w:val="18"/>
                <w:szCs w:val="18"/>
              </w:rPr>
              <w:t>CONFORMITY WITH POLICIES</w:t>
            </w:r>
          </w:p>
        </w:tc>
      </w:tr>
      <w:tr w:rsidR="00DE4E6E" w:rsidRPr="00F32F6F" w:rsidTr="0003366F">
        <w:tc>
          <w:tcPr>
            <w:tcW w:w="14580" w:type="dxa"/>
            <w:tcBorders>
              <w:top w:val="double" w:sz="4" w:space="0" w:color="auto"/>
              <w:bottom w:val="single" w:sz="4" w:space="0" w:color="auto"/>
              <w:right w:val="nil"/>
            </w:tcBorders>
            <w:shd w:val="clear" w:color="auto" w:fill="E6E6E6"/>
            <w:vAlign w:val="center"/>
          </w:tcPr>
          <w:p w:rsidR="00094DE8" w:rsidRPr="00F32F6F" w:rsidRDefault="00094DE8">
            <w:pPr>
              <w:ind w:left="360" w:hanging="360"/>
              <w:rPr>
                <w:rFonts w:cs="Arial"/>
                <w:b/>
                <w:bCs/>
                <w:sz w:val="18"/>
                <w:szCs w:val="18"/>
              </w:rPr>
            </w:pPr>
          </w:p>
          <w:p w:rsidR="00DE4E6E" w:rsidRPr="00F32F6F" w:rsidRDefault="00DE4E6E">
            <w:pPr>
              <w:ind w:left="360" w:hanging="360"/>
              <w:rPr>
                <w:rFonts w:cs="Arial"/>
                <w:b/>
                <w:bCs/>
                <w:sz w:val="18"/>
                <w:szCs w:val="18"/>
              </w:rPr>
            </w:pPr>
            <w:r w:rsidRPr="00F32F6F">
              <w:rPr>
                <w:rFonts w:cs="Arial"/>
                <w:b/>
                <w:bCs/>
                <w:sz w:val="18"/>
                <w:szCs w:val="18"/>
              </w:rPr>
              <w:t xml:space="preserve">1.   </w:t>
            </w:r>
            <w:r w:rsidR="000F259F" w:rsidRPr="00F32F6F">
              <w:rPr>
                <w:rFonts w:cs="Arial"/>
                <w:b/>
                <w:bCs/>
                <w:sz w:val="18"/>
                <w:szCs w:val="18"/>
              </w:rPr>
              <w:t>BUILDING STRONG COMMUNITIES</w:t>
            </w:r>
          </w:p>
        </w:tc>
        <w:tc>
          <w:tcPr>
            <w:tcW w:w="8100" w:type="dxa"/>
            <w:tcBorders>
              <w:top w:val="double" w:sz="4" w:space="0" w:color="auto"/>
              <w:left w:val="nil"/>
              <w:bottom w:val="single" w:sz="4" w:space="0" w:color="auto"/>
            </w:tcBorders>
            <w:shd w:val="clear" w:color="auto" w:fill="E6E6E6"/>
            <w:vAlign w:val="center"/>
          </w:tcPr>
          <w:p w:rsidR="00DE4E6E" w:rsidRPr="00F32F6F" w:rsidRDefault="00DE4E6E">
            <w:pPr>
              <w:rPr>
                <w:rFonts w:cs="Arial"/>
                <w:b/>
                <w:bCs/>
                <w:sz w:val="18"/>
                <w:szCs w:val="18"/>
              </w:rPr>
            </w:pPr>
          </w:p>
        </w:tc>
      </w:tr>
      <w:tr w:rsidR="00DE4E6E" w:rsidRPr="00617623" w:rsidTr="0003366F">
        <w:tc>
          <w:tcPr>
            <w:tcW w:w="14580" w:type="dxa"/>
            <w:tcBorders>
              <w:top w:val="single" w:sz="4" w:space="0" w:color="auto"/>
              <w:bottom w:val="dotted" w:sz="4" w:space="0" w:color="auto"/>
            </w:tcBorders>
            <w:vAlign w:val="center"/>
          </w:tcPr>
          <w:p w:rsidR="00094DE8" w:rsidRDefault="00094DE8" w:rsidP="000F259F">
            <w:pPr>
              <w:ind w:left="522" w:hanging="522"/>
              <w:rPr>
                <w:rFonts w:cs="Arial"/>
                <w:sz w:val="18"/>
                <w:szCs w:val="18"/>
              </w:rPr>
            </w:pPr>
          </w:p>
          <w:p w:rsidR="00DE4E6E" w:rsidRPr="00F96A5D" w:rsidRDefault="00914571" w:rsidP="00914571">
            <w:pPr>
              <w:ind w:left="396" w:hanging="396"/>
              <w:rPr>
                <w:rFonts w:cs="Arial"/>
                <w:sz w:val="18"/>
                <w:szCs w:val="18"/>
              </w:rPr>
            </w:pPr>
            <w:r w:rsidRPr="00F96A5D">
              <w:rPr>
                <w:rFonts w:cs="Arial"/>
                <w:sz w:val="18"/>
                <w:szCs w:val="18"/>
              </w:rPr>
              <w:t>1.1   Managing and Directing Land Use to Achieve Efficient  Development and Land Use Patterns – to provide for healthy, live-able and safe communities, to accommodate an appropriate range and mix of employment and housing, settlement areas shall be focus of growth with densities that use land appropriately and efficiently and minimize negative impacts to air quality and climate change</w:t>
            </w:r>
            <w:r w:rsidR="001A126F" w:rsidRPr="00F96A5D">
              <w:rPr>
                <w:rFonts w:cs="Arial"/>
                <w:sz w:val="18"/>
                <w:szCs w:val="18"/>
              </w:rPr>
              <w:t>.</w:t>
            </w:r>
          </w:p>
        </w:tc>
        <w:tc>
          <w:tcPr>
            <w:tcW w:w="8100" w:type="dxa"/>
            <w:tcBorders>
              <w:top w:val="single" w:sz="4" w:space="0" w:color="auto"/>
              <w:bottom w:val="dotted" w:sz="4" w:space="0" w:color="auto"/>
            </w:tcBorders>
          </w:tcPr>
          <w:p w:rsidR="00DE4E6E" w:rsidRPr="00C7521C" w:rsidRDefault="00C41443" w:rsidP="00C41443">
            <w:pPr>
              <w:rPr>
                <w:rFonts w:cs="Arial"/>
                <w:sz w:val="18"/>
                <w:szCs w:val="18"/>
              </w:rPr>
            </w:pPr>
            <w:r>
              <w:rPr>
                <w:rFonts w:cs="Arial"/>
                <w:sz w:val="18"/>
                <w:szCs w:val="18"/>
              </w:rPr>
              <w:t>Winery</w:t>
            </w:r>
            <w:r w:rsidRPr="00C41443">
              <w:rPr>
                <w:rFonts w:cs="Arial"/>
                <w:sz w:val="18"/>
                <w:szCs w:val="18"/>
              </w:rPr>
              <w:t xml:space="preserve"> is located within Urban area boundary close to the commercial district of the Village. The </w:t>
            </w:r>
            <w:r>
              <w:rPr>
                <w:rFonts w:cs="Arial"/>
                <w:sz w:val="18"/>
                <w:szCs w:val="18"/>
              </w:rPr>
              <w:t>winery</w:t>
            </w:r>
            <w:r w:rsidRPr="00C41443">
              <w:rPr>
                <w:rFonts w:cs="Arial"/>
                <w:sz w:val="18"/>
                <w:szCs w:val="18"/>
              </w:rPr>
              <w:t xml:space="preserve"> create</w:t>
            </w:r>
            <w:r>
              <w:rPr>
                <w:rFonts w:cs="Arial"/>
                <w:sz w:val="18"/>
                <w:szCs w:val="18"/>
              </w:rPr>
              <w:t>s</w:t>
            </w:r>
            <w:r w:rsidRPr="00C41443">
              <w:rPr>
                <w:rFonts w:cs="Arial"/>
                <w:sz w:val="18"/>
                <w:szCs w:val="18"/>
              </w:rPr>
              <w:t xml:space="preserve"> opportun</w:t>
            </w:r>
            <w:r>
              <w:rPr>
                <w:rFonts w:cs="Arial"/>
                <w:sz w:val="18"/>
                <w:szCs w:val="18"/>
              </w:rPr>
              <w:t>ity for local employment and in the future may</w:t>
            </w:r>
            <w:r w:rsidRPr="00C41443">
              <w:rPr>
                <w:rFonts w:cs="Arial"/>
                <w:sz w:val="18"/>
                <w:szCs w:val="18"/>
              </w:rPr>
              <w:t xml:space="preserve"> provide a catalyst for local business district.</w:t>
            </w:r>
          </w:p>
        </w:tc>
      </w:tr>
      <w:tr w:rsidR="00DE4E6E" w:rsidRPr="00617623" w:rsidTr="0003366F">
        <w:tc>
          <w:tcPr>
            <w:tcW w:w="14580" w:type="dxa"/>
            <w:tcBorders>
              <w:top w:val="dotted" w:sz="4" w:space="0" w:color="auto"/>
            </w:tcBorders>
            <w:vAlign w:val="center"/>
          </w:tcPr>
          <w:p w:rsidR="0034501B" w:rsidRPr="00165FE6" w:rsidRDefault="0034501B">
            <w:pPr>
              <w:rPr>
                <w:rFonts w:cs="Arial"/>
                <w:sz w:val="18"/>
                <w:szCs w:val="18"/>
              </w:rPr>
            </w:pPr>
          </w:p>
          <w:p w:rsidR="00E46681" w:rsidRPr="00165FE6" w:rsidRDefault="00E46681">
            <w:pPr>
              <w:rPr>
                <w:rFonts w:cs="Arial"/>
                <w:sz w:val="18"/>
                <w:szCs w:val="18"/>
              </w:rPr>
            </w:pPr>
          </w:p>
          <w:p w:rsidR="00DE4E6E" w:rsidRPr="00165FE6" w:rsidRDefault="00DE4E6E">
            <w:pPr>
              <w:rPr>
                <w:rFonts w:cs="Arial"/>
                <w:sz w:val="18"/>
                <w:szCs w:val="18"/>
              </w:rPr>
            </w:pPr>
            <w:r w:rsidRPr="00165FE6">
              <w:rPr>
                <w:rFonts w:cs="Arial"/>
                <w:sz w:val="18"/>
                <w:szCs w:val="18"/>
              </w:rPr>
              <w:t xml:space="preserve">1.2   </w:t>
            </w:r>
            <w:r w:rsidR="004D057F" w:rsidRPr="00165FE6">
              <w:rPr>
                <w:rFonts w:cs="Arial"/>
                <w:sz w:val="18"/>
                <w:szCs w:val="18"/>
              </w:rPr>
              <w:t>Coordination</w:t>
            </w:r>
            <w:r w:rsidR="004924F3" w:rsidRPr="00165FE6">
              <w:rPr>
                <w:rFonts w:cs="Arial"/>
                <w:sz w:val="18"/>
                <w:szCs w:val="18"/>
              </w:rPr>
              <w:t xml:space="preserve"> – a coordinated, integrated and comprehensive approach should be used </w:t>
            </w:r>
            <w:r w:rsidR="00DB63D4" w:rsidRPr="00165FE6">
              <w:rPr>
                <w:rFonts w:cs="Arial"/>
                <w:sz w:val="18"/>
                <w:szCs w:val="18"/>
              </w:rPr>
              <w:t>when dealing with planning matters</w:t>
            </w:r>
          </w:p>
        </w:tc>
        <w:tc>
          <w:tcPr>
            <w:tcW w:w="8100" w:type="dxa"/>
            <w:tcBorders>
              <w:top w:val="dotted" w:sz="4" w:space="0" w:color="auto"/>
              <w:bottom w:val="dotted" w:sz="4" w:space="0" w:color="auto"/>
            </w:tcBorders>
          </w:tcPr>
          <w:p w:rsidR="00DE4E6E" w:rsidRPr="00165FE6" w:rsidRDefault="00066AB3">
            <w:pPr>
              <w:pStyle w:val="EnvelopeReturn"/>
              <w:rPr>
                <w:rFonts w:ascii="Arial" w:hAnsi="Arial" w:cs="Arial"/>
                <w:sz w:val="18"/>
                <w:szCs w:val="18"/>
              </w:rPr>
            </w:pPr>
            <w:r w:rsidRPr="00165FE6">
              <w:rPr>
                <w:rFonts w:ascii="Arial" w:hAnsi="Arial" w:cs="Arial"/>
                <w:sz w:val="18"/>
                <w:szCs w:val="18"/>
              </w:rPr>
              <w:t xml:space="preserve">The application was circulated to all pertinent departments </w:t>
            </w:r>
            <w:r w:rsidR="00E35DE5" w:rsidRPr="00165FE6">
              <w:rPr>
                <w:rFonts w:ascii="Arial" w:hAnsi="Arial" w:cs="Arial"/>
                <w:sz w:val="18"/>
                <w:szCs w:val="18"/>
              </w:rPr>
              <w:t xml:space="preserve">and </w:t>
            </w:r>
            <w:r w:rsidRPr="00165FE6">
              <w:rPr>
                <w:rFonts w:ascii="Arial" w:hAnsi="Arial" w:cs="Arial"/>
                <w:sz w:val="18"/>
                <w:szCs w:val="18"/>
              </w:rPr>
              <w:t xml:space="preserve">agencies for </w:t>
            </w:r>
            <w:r w:rsidR="00E35DE5" w:rsidRPr="00165FE6">
              <w:rPr>
                <w:rFonts w:ascii="Arial" w:hAnsi="Arial" w:cs="Arial"/>
                <w:sz w:val="18"/>
                <w:szCs w:val="18"/>
              </w:rPr>
              <w:t xml:space="preserve">their </w:t>
            </w:r>
            <w:r w:rsidRPr="00165FE6">
              <w:rPr>
                <w:rFonts w:ascii="Arial" w:hAnsi="Arial" w:cs="Arial"/>
                <w:sz w:val="18"/>
                <w:szCs w:val="18"/>
              </w:rPr>
              <w:t>review and comment.</w:t>
            </w:r>
          </w:p>
        </w:tc>
      </w:tr>
      <w:tr w:rsidR="00A56CF9" w:rsidRPr="00617623" w:rsidTr="0003366F">
        <w:tc>
          <w:tcPr>
            <w:tcW w:w="14580" w:type="dxa"/>
            <w:tcBorders>
              <w:top w:val="dotted" w:sz="4" w:space="0" w:color="auto"/>
              <w:bottom w:val="dotted" w:sz="4" w:space="0" w:color="auto"/>
            </w:tcBorders>
          </w:tcPr>
          <w:p w:rsidR="00A56CF9" w:rsidRPr="00165FE6" w:rsidRDefault="00A56CF9">
            <w:pPr>
              <w:rPr>
                <w:rFonts w:cs="Arial"/>
                <w:sz w:val="18"/>
                <w:szCs w:val="18"/>
              </w:rPr>
            </w:pPr>
          </w:p>
          <w:p w:rsidR="00350504" w:rsidRPr="00165FE6" w:rsidRDefault="00350504">
            <w:pPr>
              <w:rPr>
                <w:rFonts w:cs="Arial"/>
                <w:sz w:val="18"/>
                <w:szCs w:val="18"/>
              </w:rPr>
            </w:pPr>
          </w:p>
          <w:p w:rsidR="00A56CF9" w:rsidRPr="00165FE6" w:rsidRDefault="00A56CF9">
            <w:pPr>
              <w:rPr>
                <w:rFonts w:cs="Arial"/>
                <w:sz w:val="18"/>
                <w:szCs w:val="18"/>
              </w:rPr>
            </w:pPr>
            <w:r w:rsidRPr="00165FE6">
              <w:rPr>
                <w:rFonts w:cs="Arial"/>
                <w:sz w:val="18"/>
                <w:szCs w:val="18"/>
              </w:rPr>
              <w:t>1.3   Employment Areas – Planning Authorities shall promote economic development and competitiveness</w:t>
            </w:r>
          </w:p>
        </w:tc>
        <w:tc>
          <w:tcPr>
            <w:tcW w:w="8100" w:type="dxa"/>
            <w:tcBorders>
              <w:top w:val="dotted" w:sz="4" w:space="0" w:color="auto"/>
              <w:bottom w:val="dotted" w:sz="4" w:space="0" w:color="auto"/>
            </w:tcBorders>
          </w:tcPr>
          <w:p w:rsidR="007420DC" w:rsidRPr="00165FE6" w:rsidRDefault="00C41443" w:rsidP="00C41443">
            <w:pPr>
              <w:rPr>
                <w:rFonts w:cs="Arial"/>
                <w:sz w:val="18"/>
                <w:szCs w:val="18"/>
              </w:rPr>
            </w:pPr>
            <w:r w:rsidRPr="00C41443">
              <w:rPr>
                <w:rFonts w:cs="Arial"/>
                <w:sz w:val="18"/>
                <w:szCs w:val="18"/>
              </w:rPr>
              <w:t xml:space="preserve">The </w:t>
            </w:r>
            <w:r>
              <w:rPr>
                <w:rFonts w:cs="Arial"/>
                <w:sz w:val="18"/>
                <w:szCs w:val="18"/>
              </w:rPr>
              <w:t>winery</w:t>
            </w:r>
            <w:r w:rsidRPr="00C41443">
              <w:rPr>
                <w:rFonts w:cs="Arial"/>
                <w:sz w:val="18"/>
                <w:szCs w:val="18"/>
              </w:rPr>
              <w:t xml:space="preserve"> provide</w:t>
            </w:r>
            <w:r>
              <w:rPr>
                <w:rFonts w:cs="Arial"/>
                <w:sz w:val="18"/>
                <w:szCs w:val="18"/>
              </w:rPr>
              <w:t>s</w:t>
            </w:r>
            <w:r w:rsidRPr="00C41443">
              <w:rPr>
                <w:rFonts w:cs="Arial"/>
                <w:sz w:val="18"/>
                <w:szCs w:val="18"/>
              </w:rPr>
              <w:t xml:space="preserve"> seasonal employment during</w:t>
            </w:r>
            <w:r>
              <w:rPr>
                <w:rFonts w:cs="Arial"/>
                <w:sz w:val="18"/>
                <w:szCs w:val="18"/>
              </w:rPr>
              <w:t xml:space="preserve"> grape crushing season as well as for</w:t>
            </w:r>
            <w:r w:rsidRPr="00C41443">
              <w:rPr>
                <w:rFonts w:cs="Arial"/>
                <w:sz w:val="18"/>
                <w:szCs w:val="18"/>
              </w:rPr>
              <w:t xml:space="preserve"> local employment for the secondary uses.</w:t>
            </w:r>
          </w:p>
        </w:tc>
      </w:tr>
      <w:tr w:rsidR="00A56CF9" w:rsidRPr="00617623" w:rsidTr="0003366F">
        <w:tc>
          <w:tcPr>
            <w:tcW w:w="14580" w:type="dxa"/>
            <w:tcBorders>
              <w:top w:val="dotted" w:sz="4" w:space="0" w:color="auto"/>
              <w:bottom w:val="dotted" w:sz="4" w:space="0" w:color="auto"/>
            </w:tcBorders>
          </w:tcPr>
          <w:p w:rsidR="00A56CF9" w:rsidRPr="00617623" w:rsidRDefault="00A56CF9" w:rsidP="004D057F">
            <w:pPr>
              <w:ind w:left="426" w:hanging="426"/>
              <w:rPr>
                <w:rFonts w:cs="Arial"/>
                <w:sz w:val="18"/>
                <w:szCs w:val="18"/>
              </w:rPr>
            </w:pPr>
          </w:p>
          <w:p w:rsidR="00A56CF9" w:rsidRPr="00617623" w:rsidRDefault="00A56CF9" w:rsidP="004D057F">
            <w:pPr>
              <w:ind w:left="426" w:hanging="426"/>
              <w:rPr>
                <w:rFonts w:cs="Arial"/>
                <w:sz w:val="18"/>
                <w:szCs w:val="18"/>
              </w:rPr>
            </w:pPr>
            <w:r w:rsidRPr="00617623">
              <w:rPr>
                <w:rFonts w:cs="Arial"/>
                <w:sz w:val="18"/>
                <w:szCs w:val="18"/>
              </w:rPr>
              <w:t xml:space="preserve">1.4   Housing – To provide for an appropriate range of housing types and densities </w:t>
            </w:r>
          </w:p>
        </w:tc>
        <w:tc>
          <w:tcPr>
            <w:tcW w:w="8100" w:type="dxa"/>
            <w:tcBorders>
              <w:top w:val="dotted" w:sz="4" w:space="0" w:color="auto"/>
              <w:bottom w:val="dotted" w:sz="4" w:space="0" w:color="auto"/>
            </w:tcBorders>
          </w:tcPr>
          <w:p w:rsidR="00A56CF9" w:rsidRPr="00F34A38" w:rsidRDefault="00C41443">
            <w:pPr>
              <w:rPr>
                <w:rFonts w:cs="Arial"/>
                <w:sz w:val="18"/>
                <w:szCs w:val="18"/>
              </w:rPr>
            </w:pPr>
            <w:r>
              <w:rPr>
                <w:rFonts w:cs="Arial"/>
                <w:sz w:val="18"/>
                <w:szCs w:val="18"/>
              </w:rPr>
              <w:t>Low density designation permitting housing is retained.</w:t>
            </w:r>
          </w:p>
        </w:tc>
      </w:tr>
      <w:tr w:rsidR="00A56CF9" w:rsidRPr="00617623" w:rsidTr="0003366F">
        <w:tc>
          <w:tcPr>
            <w:tcW w:w="14580" w:type="dxa"/>
            <w:tcBorders>
              <w:top w:val="dotted" w:sz="4" w:space="0" w:color="auto"/>
              <w:bottom w:val="dotted" w:sz="4" w:space="0" w:color="auto"/>
            </w:tcBorders>
          </w:tcPr>
          <w:p w:rsidR="00A56CF9" w:rsidRPr="00617623" w:rsidRDefault="00A56CF9" w:rsidP="000F259F">
            <w:pPr>
              <w:ind w:left="522" w:hanging="522"/>
              <w:rPr>
                <w:rFonts w:cs="Arial"/>
                <w:sz w:val="18"/>
                <w:szCs w:val="18"/>
              </w:rPr>
            </w:pPr>
          </w:p>
          <w:p w:rsidR="00A56CF9" w:rsidRPr="00617623" w:rsidRDefault="00A56CF9" w:rsidP="00914571">
            <w:pPr>
              <w:ind w:left="396" w:hanging="396"/>
              <w:rPr>
                <w:rFonts w:cs="Arial"/>
                <w:sz w:val="18"/>
                <w:szCs w:val="18"/>
              </w:rPr>
            </w:pPr>
            <w:r w:rsidRPr="00617623">
              <w:rPr>
                <w:rFonts w:cs="Arial"/>
                <w:sz w:val="18"/>
                <w:szCs w:val="18"/>
              </w:rPr>
              <w:t>1. 5  Public Spaces, Parks and Open Space – Health</w:t>
            </w:r>
            <w:r>
              <w:rPr>
                <w:rFonts w:cs="Arial"/>
                <w:sz w:val="18"/>
                <w:szCs w:val="18"/>
              </w:rPr>
              <w:t>y</w:t>
            </w:r>
            <w:r w:rsidRPr="00617623">
              <w:rPr>
                <w:rFonts w:cs="Arial"/>
                <w:sz w:val="18"/>
                <w:szCs w:val="18"/>
              </w:rPr>
              <w:t xml:space="preserve"> active communities should be promoted by planning public streets, spaces and facilities to be safe and to meet the needs of the public; providing for a full range and equitable distribution of publicly accessible built and natural settlings for recreation; providing opportunities for public access to shorelines; considering the impacts of planning decisions on provincial parks, conservation reserves and conservation areas</w:t>
            </w:r>
          </w:p>
        </w:tc>
        <w:tc>
          <w:tcPr>
            <w:tcW w:w="8100" w:type="dxa"/>
            <w:tcBorders>
              <w:top w:val="dotted" w:sz="4" w:space="0" w:color="auto"/>
              <w:bottom w:val="dotted" w:sz="4" w:space="0" w:color="auto"/>
            </w:tcBorders>
          </w:tcPr>
          <w:p w:rsidR="00A56CF9" w:rsidRPr="00F34A38" w:rsidRDefault="00A56CF9">
            <w:pPr>
              <w:rPr>
                <w:rFonts w:cs="Arial"/>
                <w:sz w:val="18"/>
                <w:szCs w:val="18"/>
              </w:rPr>
            </w:pPr>
          </w:p>
          <w:p w:rsidR="00350504" w:rsidRPr="00F34A38" w:rsidRDefault="00350504">
            <w:pPr>
              <w:rPr>
                <w:rFonts w:cs="Arial"/>
                <w:sz w:val="18"/>
                <w:szCs w:val="18"/>
              </w:rPr>
            </w:pPr>
          </w:p>
          <w:p w:rsidR="00F34A38" w:rsidRPr="00F34A38" w:rsidRDefault="00F34A38">
            <w:pPr>
              <w:rPr>
                <w:rFonts w:cs="Arial"/>
                <w:sz w:val="18"/>
                <w:szCs w:val="18"/>
              </w:rPr>
            </w:pPr>
          </w:p>
          <w:p w:rsidR="00350504" w:rsidRPr="00F34A38" w:rsidRDefault="00C41443">
            <w:pPr>
              <w:rPr>
                <w:rFonts w:cs="Arial"/>
                <w:sz w:val="18"/>
                <w:szCs w:val="18"/>
              </w:rPr>
            </w:pPr>
            <w:r>
              <w:rPr>
                <w:rFonts w:cs="Arial"/>
                <w:sz w:val="18"/>
                <w:szCs w:val="18"/>
              </w:rPr>
              <w:t>The winery provides for opportunities for locals to walk through the site and view the scenery.</w:t>
            </w:r>
          </w:p>
        </w:tc>
      </w:tr>
      <w:tr w:rsidR="00A56CF9" w:rsidRPr="00617623" w:rsidTr="0003366F">
        <w:tc>
          <w:tcPr>
            <w:tcW w:w="14580" w:type="dxa"/>
            <w:tcBorders>
              <w:top w:val="dotted" w:sz="4" w:space="0" w:color="auto"/>
              <w:bottom w:val="dotted" w:sz="4" w:space="0" w:color="auto"/>
            </w:tcBorders>
          </w:tcPr>
          <w:p w:rsidR="00A56CF9" w:rsidRDefault="00A56CF9" w:rsidP="000F259F">
            <w:pPr>
              <w:ind w:left="522" w:hanging="522"/>
              <w:rPr>
                <w:rFonts w:cs="Arial"/>
                <w:sz w:val="18"/>
                <w:szCs w:val="18"/>
              </w:rPr>
            </w:pPr>
          </w:p>
          <w:p w:rsidR="00A56CF9" w:rsidRPr="00617623" w:rsidRDefault="00A56CF9" w:rsidP="000F259F">
            <w:pPr>
              <w:ind w:left="522" w:hanging="522"/>
              <w:rPr>
                <w:rFonts w:cs="Arial"/>
                <w:sz w:val="18"/>
                <w:szCs w:val="18"/>
              </w:rPr>
            </w:pPr>
            <w:r w:rsidRPr="00617623">
              <w:rPr>
                <w:rFonts w:cs="Arial"/>
                <w:sz w:val="18"/>
                <w:szCs w:val="18"/>
              </w:rPr>
              <w:t>1.6   Infrastructure and Public Service Facilities – shall be provided in a coordinate, efficient and cost-effective manner to accommodate projected needs</w:t>
            </w:r>
          </w:p>
        </w:tc>
        <w:tc>
          <w:tcPr>
            <w:tcW w:w="8100" w:type="dxa"/>
            <w:tcBorders>
              <w:top w:val="dotted" w:sz="4" w:space="0" w:color="auto"/>
              <w:bottom w:val="dotted" w:sz="4" w:space="0" w:color="auto"/>
            </w:tcBorders>
          </w:tcPr>
          <w:p w:rsidR="00350504" w:rsidRPr="00967A88" w:rsidRDefault="00350504">
            <w:pPr>
              <w:rPr>
                <w:rFonts w:cs="Arial"/>
                <w:sz w:val="18"/>
                <w:szCs w:val="18"/>
              </w:rPr>
            </w:pPr>
          </w:p>
          <w:p w:rsidR="00DE1826" w:rsidRPr="00967A88" w:rsidRDefault="00C41443" w:rsidP="00C41443">
            <w:pPr>
              <w:rPr>
                <w:rFonts w:cs="Arial"/>
                <w:sz w:val="18"/>
                <w:szCs w:val="18"/>
              </w:rPr>
            </w:pPr>
            <w:r>
              <w:rPr>
                <w:rFonts w:cs="Arial"/>
                <w:sz w:val="18"/>
                <w:szCs w:val="18"/>
              </w:rPr>
              <w:t>The proposal does not impact services.</w:t>
            </w:r>
          </w:p>
        </w:tc>
      </w:tr>
      <w:tr w:rsidR="00E95309" w:rsidRPr="00617623" w:rsidTr="0003366F">
        <w:tc>
          <w:tcPr>
            <w:tcW w:w="14580" w:type="dxa"/>
            <w:tcBorders>
              <w:top w:val="dotted" w:sz="4" w:space="0" w:color="auto"/>
              <w:bottom w:val="dotted" w:sz="4" w:space="0" w:color="auto"/>
            </w:tcBorders>
          </w:tcPr>
          <w:p w:rsidR="00E95309" w:rsidRPr="00617623" w:rsidRDefault="00E95309" w:rsidP="00E72612">
            <w:pPr>
              <w:rPr>
                <w:rFonts w:cs="Arial"/>
                <w:sz w:val="18"/>
                <w:szCs w:val="18"/>
              </w:rPr>
            </w:pPr>
          </w:p>
          <w:p w:rsidR="00E95309" w:rsidRPr="00617623" w:rsidRDefault="00E95309" w:rsidP="00914571">
            <w:pPr>
              <w:ind w:left="396" w:hanging="396"/>
              <w:rPr>
                <w:rFonts w:cs="Arial"/>
                <w:sz w:val="18"/>
                <w:szCs w:val="18"/>
              </w:rPr>
            </w:pPr>
            <w:r w:rsidRPr="00617623">
              <w:rPr>
                <w:rFonts w:cs="Arial"/>
                <w:sz w:val="18"/>
                <w:szCs w:val="18"/>
              </w:rPr>
              <w:t>1.7   Long-Term Economic Prosperity – shall be supported by optimizing the long-term availability of land, resources, infrastructure, public service facilities; maintaining/enhancing downtowns and main streets; promoting redevelopment  of brownfields; providing efficient, reliable and cost effective multi-modal transportation system; planning major facilities and sensitive land uses are appropriately designed, buffered and /or separated from each other to prevent adverse effects; providing opportunities for sustainable tourism development; protecting agricultural resources and minimizing land use conflicts; providing opportunities for increased energy generation, supply and conservation including alterative/renewable energy systems</w:t>
            </w:r>
            <w:r w:rsidR="004F7E2E">
              <w:rPr>
                <w:rFonts w:cs="Arial"/>
                <w:sz w:val="18"/>
                <w:szCs w:val="18"/>
              </w:rPr>
              <w:t xml:space="preserve">   </w:t>
            </w:r>
          </w:p>
        </w:tc>
        <w:tc>
          <w:tcPr>
            <w:tcW w:w="8100" w:type="dxa"/>
            <w:tcBorders>
              <w:top w:val="dotted" w:sz="4" w:space="0" w:color="auto"/>
              <w:bottom w:val="dotted" w:sz="4" w:space="0" w:color="auto"/>
            </w:tcBorders>
          </w:tcPr>
          <w:p w:rsidR="00E95309" w:rsidRPr="00F34A38" w:rsidRDefault="00E95309" w:rsidP="00E95309">
            <w:pPr>
              <w:rPr>
                <w:rFonts w:cs="Arial"/>
                <w:sz w:val="18"/>
                <w:szCs w:val="18"/>
              </w:rPr>
            </w:pPr>
          </w:p>
          <w:p w:rsidR="00070283" w:rsidRPr="00F34A38" w:rsidRDefault="00C41443" w:rsidP="00C41443">
            <w:pPr>
              <w:rPr>
                <w:rFonts w:cs="Arial"/>
                <w:sz w:val="18"/>
                <w:szCs w:val="18"/>
              </w:rPr>
            </w:pPr>
            <w:r w:rsidRPr="00C41443">
              <w:rPr>
                <w:rFonts w:cs="Arial"/>
                <w:sz w:val="18"/>
                <w:szCs w:val="18"/>
              </w:rPr>
              <w:t xml:space="preserve">The </w:t>
            </w:r>
            <w:r>
              <w:rPr>
                <w:rFonts w:cs="Arial"/>
                <w:sz w:val="18"/>
                <w:szCs w:val="18"/>
              </w:rPr>
              <w:t>winery</w:t>
            </w:r>
            <w:r w:rsidRPr="00C41443">
              <w:rPr>
                <w:rFonts w:cs="Arial"/>
                <w:sz w:val="18"/>
                <w:szCs w:val="18"/>
              </w:rPr>
              <w:t xml:space="preserve"> enhance</w:t>
            </w:r>
            <w:r>
              <w:rPr>
                <w:rFonts w:cs="Arial"/>
                <w:sz w:val="18"/>
                <w:szCs w:val="18"/>
              </w:rPr>
              <w:t>s</w:t>
            </w:r>
            <w:r w:rsidRPr="00C41443">
              <w:rPr>
                <w:rFonts w:cs="Arial"/>
                <w:sz w:val="18"/>
                <w:szCs w:val="18"/>
              </w:rPr>
              <w:t xml:space="preserve"> the vitality and viability of the Village centre and provide</w:t>
            </w:r>
            <w:r>
              <w:rPr>
                <w:rFonts w:cs="Arial"/>
                <w:sz w:val="18"/>
                <w:szCs w:val="18"/>
              </w:rPr>
              <w:t>s</w:t>
            </w:r>
            <w:r w:rsidRPr="00C41443">
              <w:rPr>
                <w:rFonts w:cs="Arial"/>
                <w:sz w:val="18"/>
                <w:szCs w:val="18"/>
              </w:rPr>
              <w:t xml:space="preserve"> for sustainable economic development.  The </w:t>
            </w:r>
            <w:r>
              <w:rPr>
                <w:rFonts w:cs="Arial"/>
                <w:sz w:val="18"/>
                <w:szCs w:val="18"/>
              </w:rPr>
              <w:t xml:space="preserve">winery </w:t>
            </w:r>
            <w:r w:rsidRPr="00C41443">
              <w:rPr>
                <w:rFonts w:cs="Arial"/>
                <w:sz w:val="18"/>
                <w:szCs w:val="18"/>
              </w:rPr>
              <w:t>protect</w:t>
            </w:r>
            <w:r>
              <w:rPr>
                <w:rFonts w:cs="Arial"/>
                <w:sz w:val="18"/>
                <w:szCs w:val="18"/>
              </w:rPr>
              <w:t>s</w:t>
            </w:r>
            <w:r w:rsidRPr="00C41443">
              <w:rPr>
                <w:rFonts w:cs="Arial"/>
                <w:sz w:val="18"/>
                <w:szCs w:val="18"/>
              </w:rPr>
              <w:t xml:space="preserve"> agricultural land that has been farmed for over 100 years.  The continued agricultural use will not cause land use conflicts.  The </w:t>
            </w:r>
            <w:r>
              <w:rPr>
                <w:rFonts w:cs="Arial"/>
                <w:sz w:val="18"/>
                <w:szCs w:val="18"/>
              </w:rPr>
              <w:t>structures are buffered from the surroundings by their location and the vineyards.</w:t>
            </w:r>
          </w:p>
        </w:tc>
      </w:tr>
      <w:tr w:rsidR="00A56CF9" w:rsidRPr="00617623" w:rsidTr="0003366F">
        <w:tc>
          <w:tcPr>
            <w:tcW w:w="14580" w:type="dxa"/>
            <w:tcBorders>
              <w:top w:val="dotted" w:sz="4" w:space="0" w:color="auto"/>
              <w:bottom w:val="dotted" w:sz="4" w:space="0" w:color="auto"/>
            </w:tcBorders>
          </w:tcPr>
          <w:p w:rsidR="00BB0ABA" w:rsidRDefault="00BB0ABA">
            <w:pPr>
              <w:rPr>
                <w:rFonts w:cs="Arial"/>
                <w:sz w:val="18"/>
                <w:szCs w:val="18"/>
              </w:rPr>
            </w:pPr>
          </w:p>
          <w:p w:rsidR="00A56CF9" w:rsidRPr="00DC7A32" w:rsidRDefault="00A56CF9">
            <w:pPr>
              <w:rPr>
                <w:rFonts w:cs="Arial"/>
                <w:sz w:val="18"/>
                <w:szCs w:val="18"/>
              </w:rPr>
            </w:pPr>
            <w:r w:rsidRPr="00DC7A32">
              <w:rPr>
                <w:rFonts w:cs="Arial"/>
                <w:sz w:val="18"/>
                <w:szCs w:val="18"/>
              </w:rPr>
              <w:t>1.8   Energy and Air Quality – Planning Authorities shall support energy efficiency and improved air quality</w:t>
            </w:r>
          </w:p>
        </w:tc>
        <w:tc>
          <w:tcPr>
            <w:tcW w:w="8100" w:type="dxa"/>
            <w:tcBorders>
              <w:top w:val="dotted" w:sz="4" w:space="0" w:color="auto"/>
              <w:bottom w:val="dotted" w:sz="4" w:space="0" w:color="auto"/>
            </w:tcBorders>
          </w:tcPr>
          <w:p w:rsidR="00A56CF9" w:rsidRPr="00DC7A32" w:rsidRDefault="00A56CF9">
            <w:pPr>
              <w:rPr>
                <w:rFonts w:cs="Arial"/>
                <w:sz w:val="18"/>
                <w:szCs w:val="18"/>
              </w:rPr>
            </w:pPr>
          </w:p>
          <w:p w:rsidR="00A56CF9" w:rsidRPr="00DC7A32" w:rsidRDefault="00DC7A32" w:rsidP="00DC7A32">
            <w:pPr>
              <w:rPr>
                <w:rFonts w:cs="Arial"/>
                <w:sz w:val="18"/>
                <w:szCs w:val="18"/>
              </w:rPr>
            </w:pPr>
            <w:r w:rsidRPr="00DC7A32">
              <w:rPr>
                <w:rFonts w:cs="Arial"/>
                <w:sz w:val="18"/>
                <w:szCs w:val="18"/>
              </w:rPr>
              <w:t xml:space="preserve">No adverse impacts associated with energy efficiency and air quality.  </w:t>
            </w:r>
            <w:r w:rsidR="00C32923" w:rsidRPr="00DC7A32">
              <w:rPr>
                <w:rFonts w:cs="Arial"/>
                <w:sz w:val="18"/>
                <w:szCs w:val="18"/>
              </w:rPr>
              <w:t xml:space="preserve"> </w:t>
            </w:r>
            <w:r w:rsidR="0032134F" w:rsidRPr="00DC7A32">
              <w:rPr>
                <w:rFonts w:cs="Arial"/>
                <w:sz w:val="18"/>
                <w:szCs w:val="18"/>
              </w:rPr>
              <w:t xml:space="preserve"> </w:t>
            </w:r>
          </w:p>
        </w:tc>
      </w:tr>
      <w:tr w:rsidR="00A56CF9" w:rsidRPr="00154329" w:rsidTr="0003366F">
        <w:tc>
          <w:tcPr>
            <w:tcW w:w="14580" w:type="dxa"/>
            <w:tcBorders>
              <w:top w:val="dotted" w:sz="4" w:space="0" w:color="auto"/>
              <w:bottom w:val="dotted" w:sz="4" w:space="0" w:color="auto"/>
              <w:right w:val="nil"/>
            </w:tcBorders>
            <w:shd w:val="clear" w:color="auto" w:fill="E6E6E6"/>
            <w:vAlign w:val="center"/>
          </w:tcPr>
          <w:p w:rsidR="00A56CF9" w:rsidRPr="00154329" w:rsidRDefault="00A56CF9">
            <w:pPr>
              <w:rPr>
                <w:rFonts w:cs="Arial"/>
                <w:b/>
                <w:bCs/>
                <w:sz w:val="18"/>
                <w:szCs w:val="18"/>
              </w:rPr>
            </w:pPr>
          </w:p>
          <w:p w:rsidR="00A56CF9" w:rsidRPr="00154329" w:rsidRDefault="00A56CF9">
            <w:pPr>
              <w:rPr>
                <w:rFonts w:cs="Arial"/>
                <w:b/>
                <w:bCs/>
                <w:sz w:val="18"/>
                <w:szCs w:val="18"/>
              </w:rPr>
            </w:pPr>
            <w:r w:rsidRPr="00154329">
              <w:rPr>
                <w:rFonts w:cs="Arial"/>
                <w:b/>
                <w:bCs/>
                <w:sz w:val="18"/>
                <w:szCs w:val="18"/>
              </w:rPr>
              <w:t>2.   WISE USE AND MANAGEMENT OF RESOURCES</w:t>
            </w:r>
          </w:p>
        </w:tc>
        <w:tc>
          <w:tcPr>
            <w:tcW w:w="8100" w:type="dxa"/>
            <w:tcBorders>
              <w:top w:val="dotted" w:sz="4" w:space="0" w:color="auto"/>
              <w:left w:val="nil"/>
            </w:tcBorders>
            <w:shd w:val="clear" w:color="auto" w:fill="E6E6E6"/>
            <w:vAlign w:val="center"/>
          </w:tcPr>
          <w:p w:rsidR="00A56CF9" w:rsidRPr="008256FD" w:rsidRDefault="00A56CF9">
            <w:pPr>
              <w:rPr>
                <w:rFonts w:cs="Arial"/>
                <w:b/>
                <w:bCs/>
                <w:sz w:val="18"/>
                <w:szCs w:val="18"/>
                <w:highlight w:val="yellow"/>
              </w:rPr>
            </w:pPr>
          </w:p>
        </w:tc>
      </w:tr>
      <w:tr w:rsidR="00A56CF9" w:rsidRPr="00617623" w:rsidTr="0003366F">
        <w:tc>
          <w:tcPr>
            <w:tcW w:w="14580" w:type="dxa"/>
            <w:tcBorders>
              <w:top w:val="dotted" w:sz="4" w:space="0" w:color="auto"/>
            </w:tcBorders>
          </w:tcPr>
          <w:p w:rsidR="00A56CF9" w:rsidRPr="00DC7A32" w:rsidRDefault="00A56CF9" w:rsidP="000F259F">
            <w:pPr>
              <w:ind w:left="522" w:hanging="522"/>
              <w:rPr>
                <w:rFonts w:cs="Arial"/>
                <w:sz w:val="18"/>
                <w:szCs w:val="18"/>
              </w:rPr>
            </w:pPr>
          </w:p>
          <w:p w:rsidR="00A56CF9" w:rsidRPr="00DC7A32" w:rsidRDefault="00A56CF9" w:rsidP="00914571">
            <w:pPr>
              <w:ind w:left="396" w:hanging="396"/>
              <w:rPr>
                <w:rFonts w:cs="Arial"/>
                <w:sz w:val="18"/>
                <w:szCs w:val="18"/>
              </w:rPr>
            </w:pPr>
            <w:r w:rsidRPr="00DC7A32">
              <w:rPr>
                <w:rFonts w:cs="Arial"/>
                <w:sz w:val="18"/>
                <w:szCs w:val="18"/>
              </w:rPr>
              <w:t>2.1   Natural Heritage – natural features/areas shall be protected for the long term; provide diversity and connectivity of natural features; maintain ecological function and biodiversity of natural heritage systems; development an site alteration shall not be permitted in significant endangered/threatened species habitats, significant wetlands, significant coastal wetlands, significant wildlife habitats, areas of natural and scientific interest, fish habitats except in accordance with provincial and federal requirement; natural heritage features unless the it has been demonstrated that there will be no negative impacts on natural features or ecological functions</w:t>
            </w:r>
          </w:p>
        </w:tc>
        <w:tc>
          <w:tcPr>
            <w:tcW w:w="8100" w:type="dxa"/>
            <w:tcBorders>
              <w:top w:val="dotted" w:sz="4" w:space="0" w:color="auto"/>
            </w:tcBorders>
          </w:tcPr>
          <w:p w:rsidR="00A56CF9" w:rsidRPr="00DC7A32" w:rsidRDefault="00A56CF9">
            <w:pPr>
              <w:pStyle w:val="EnvelopeReturn"/>
              <w:rPr>
                <w:rFonts w:ascii="Arial" w:hAnsi="Arial" w:cs="Arial"/>
                <w:sz w:val="18"/>
                <w:szCs w:val="18"/>
              </w:rPr>
            </w:pPr>
            <w:r w:rsidRPr="00DC7A32">
              <w:rPr>
                <w:rFonts w:ascii="Arial" w:hAnsi="Arial" w:cs="Arial"/>
                <w:sz w:val="18"/>
                <w:szCs w:val="18"/>
              </w:rPr>
              <w:t xml:space="preserve"> </w:t>
            </w:r>
          </w:p>
          <w:p w:rsidR="00A56CF9" w:rsidRPr="00DC7A32" w:rsidRDefault="00C41443" w:rsidP="00C41443">
            <w:pPr>
              <w:pStyle w:val="EnvelopeReturn"/>
              <w:rPr>
                <w:rFonts w:ascii="Arial" w:hAnsi="Arial" w:cs="Arial"/>
                <w:sz w:val="18"/>
                <w:szCs w:val="18"/>
              </w:rPr>
            </w:pPr>
            <w:r>
              <w:rPr>
                <w:rFonts w:ascii="Arial" w:hAnsi="Arial" w:cs="Arial"/>
                <w:sz w:val="18"/>
                <w:szCs w:val="18"/>
              </w:rPr>
              <w:t xml:space="preserve">The proposal </w:t>
            </w:r>
            <w:r w:rsidRPr="00C41443">
              <w:rPr>
                <w:rFonts w:ascii="Arial" w:hAnsi="Arial" w:cs="Arial"/>
                <w:sz w:val="18"/>
                <w:szCs w:val="18"/>
              </w:rPr>
              <w:t>will not affect endangered/threatened species, significant wetlands, fish and wildlife habitats, woodlands, valley lands or natural heritage areas.</w:t>
            </w:r>
            <w:r w:rsidR="00545089" w:rsidRPr="00DC7A32">
              <w:rPr>
                <w:rFonts w:ascii="Arial" w:hAnsi="Arial" w:cs="Arial"/>
                <w:sz w:val="18"/>
                <w:szCs w:val="18"/>
              </w:rPr>
              <w:t xml:space="preserve">  </w:t>
            </w:r>
            <w:r w:rsidR="00116548" w:rsidRPr="00DC7A32">
              <w:rPr>
                <w:rFonts w:ascii="Arial" w:hAnsi="Arial" w:cs="Arial"/>
                <w:sz w:val="18"/>
                <w:szCs w:val="18"/>
              </w:rPr>
              <w:t xml:space="preserve"> </w:t>
            </w:r>
          </w:p>
        </w:tc>
      </w:tr>
      <w:tr w:rsidR="00A56CF9" w:rsidRPr="00617623" w:rsidTr="0003366F">
        <w:tc>
          <w:tcPr>
            <w:tcW w:w="14580" w:type="dxa"/>
            <w:tcBorders>
              <w:top w:val="dotted" w:sz="4" w:space="0" w:color="auto"/>
            </w:tcBorders>
            <w:vAlign w:val="center"/>
          </w:tcPr>
          <w:p w:rsidR="004A67F5" w:rsidRPr="00DC7A32" w:rsidRDefault="00A56CF9" w:rsidP="000F259F">
            <w:pPr>
              <w:ind w:left="522" w:hanging="522"/>
              <w:rPr>
                <w:rFonts w:cs="Arial"/>
                <w:sz w:val="18"/>
                <w:szCs w:val="18"/>
              </w:rPr>
            </w:pPr>
            <w:r w:rsidRPr="00DC7A32">
              <w:rPr>
                <w:rFonts w:cs="Arial"/>
                <w:sz w:val="18"/>
                <w:szCs w:val="18"/>
              </w:rPr>
              <w:t xml:space="preserve"> </w:t>
            </w:r>
          </w:p>
          <w:p w:rsidR="00AC555D" w:rsidRPr="00DC7A32" w:rsidRDefault="00AC555D" w:rsidP="000F259F">
            <w:pPr>
              <w:ind w:left="522" w:hanging="522"/>
              <w:rPr>
                <w:rFonts w:cs="Arial"/>
                <w:sz w:val="18"/>
                <w:szCs w:val="18"/>
              </w:rPr>
            </w:pPr>
          </w:p>
          <w:p w:rsidR="00DC7A32" w:rsidRPr="00DC7A32" w:rsidRDefault="00DC7A32" w:rsidP="000F259F">
            <w:pPr>
              <w:ind w:left="522" w:hanging="522"/>
              <w:rPr>
                <w:rFonts w:cs="Arial"/>
                <w:sz w:val="18"/>
                <w:szCs w:val="18"/>
              </w:rPr>
            </w:pPr>
          </w:p>
          <w:p w:rsidR="00DC7A32" w:rsidRPr="00DC7A32" w:rsidRDefault="00DC7A32" w:rsidP="000F259F">
            <w:pPr>
              <w:ind w:left="522" w:hanging="522"/>
              <w:rPr>
                <w:rFonts w:cs="Arial"/>
                <w:sz w:val="18"/>
                <w:szCs w:val="18"/>
              </w:rPr>
            </w:pPr>
          </w:p>
          <w:p w:rsidR="00AC555D" w:rsidRPr="00DC7A32" w:rsidRDefault="00AC555D" w:rsidP="000F259F">
            <w:pPr>
              <w:ind w:left="522" w:hanging="522"/>
              <w:rPr>
                <w:rFonts w:cs="Arial"/>
                <w:sz w:val="18"/>
                <w:szCs w:val="18"/>
              </w:rPr>
            </w:pPr>
          </w:p>
          <w:p w:rsidR="00503FE9" w:rsidRPr="00DC7A32" w:rsidRDefault="00A56CF9" w:rsidP="000F259F">
            <w:pPr>
              <w:ind w:left="522" w:hanging="522"/>
              <w:rPr>
                <w:rFonts w:cs="Arial"/>
                <w:sz w:val="18"/>
                <w:szCs w:val="18"/>
              </w:rPr>
            </w:pPr>
            <w:r w:rsidRPr="00DC7A32">
              <w:rPr>
                <w:rFonts w:cs="Arial"/>
                <w:sz w:val="18"/>
                <w:szCs w:val="18"/>
              </w:rPr>
              <w:t xml:space="preserve"> </w:t>
            </w:r>
          </w:p>
          <w:p w:rsidR="00A56CF9" w:rsidRPr="00DC7A32" w:rsidRDefault="00A56CF9" w:rsidP="000F259F">
            <w:pPr>
              <w:ind w:left="522" w:hanging="522"/>
              <w:rPr>
                <w:rFonts w:cs="Arial"/>
                <w:sz w:val="18"/>
                <w:szCs w:val="18"/>
              </w:rPr>
            </w:pPr>
            <w:r w:rsidRPr="00DC7A32">
              <w:rPr>
                <w:rFonts w:cs="Arial"/>
                <w:sz w:val="18"/>
                <w:szCs w:val="18"/>
              </w:rPr>
              <w:t>2.2   Water – Planning Authorities shall protect, improve or restore the quality and quantity of water; development/site alteration in or near sensitive water features shall be restricted</w:t>
            </w:r>
          </w:p>
        </w:tc>
        <w:tc>
          <w:tcPr>
            <w:tcW w:w="8100" w:type="dxa"/>
            <w:tcBorders>
              <w:top w:val="dotted" w:sz="4" w:space="0" w:color="auto"/>
            </w:tcBorders>
          </w:tcPr>
          <w:p w:rsidR="00A56CF9" w:rsidRPr="00DC7A32" w:rsidRDefault="007C511D">
            <w:pPr>
              <w:rPr>
                <w:rFonts w:cs="Arial"/>
                <w:sz w:val="18"/>
                <w:szCs w:val="18"/>
              </w:rPr>
            </w:pPr>
            <w:r w:rsidRPr="00DC7A32">
              <w:rPr>
                <w:rFonts w:cs="Arial"/>
                <w:sz w:val="18"/>
                <w:szCs w:val="18"/>
              </w:rPr>
              <w:t xml:space="preserve"> </w:t>
            </w:r>
          </w:p>
          <w:p w:rsidR="007C511D" w:rsidRPr="00DC7A32" w:rsidRDefault="00C41443" w:rsidP="00C41443">
            <w:pPr>
              <w:rPr>
                <w:rFonts w:cs="Arial"/>
                <w:sz w:val="18"/>
                <w:szCs w:val="18"/>
              </w:rPr>
            </w:pPr>
            <w:r>
              <w:rPr>
                <w:rFonts w:cs="Arial"/>
                <w:sz w:val="18"/>
                <w:szCs w:val="18"/>
              </w:rPr>
              <w:t>Site currently designed to</w:t>
            </w:r>
            <w:r w:rsidRPr="00C41443">
              <w:rPr>
                <w:rFonts w:cs="Arial"/>
                <w:sz w:val="18"/>
                <w:szCs w:val="18"/>
              </w:rPr>
              <w:t xml:space="preserve"> mitigate environmental impacts on the Lowery Drain.  </w:t>
            </w:r>
          </w:p>
        </w:tc>
      </w:tr>
      <w:tr w:rsidR="00A56CF9" w:rsidRPr="00617623" w:rsidTr="0003366F">
        <w:trPr>
          <w:trHeight w:val="529"/>
        </w:trPr>
        <w:tc>
          <w:tcPr>
            <w:tcW w:w="14580" w:type="dxa"/>
            <w:tcBorders>
              <w:top w:val="dotted" w:sz="4" w:space="0" w:color="auto"/>
            </w:tcBorders>
            <w:vAlign w:val="center"/>
          </w:tcPr>
          <w:p w:rsidR="00A56CF9" w:rsidRDefault="00A56CF9">
            <w:pPr>
              <w:rPr>
                <w:rFonts w:cs="Arial"/>
                <w:sz w:val="18"/>
                <w:szCs w:val="18"/>
              </w:rPr>
            </w:pPr>
          </w:p>
          <w:p w:rsidR="000F68CF" w:rsidRDefault="000F68CF">
            <w:pPr>
              <w:rPr>
                <w:rFonts w:cs="Arial"/>
                <w:sz w:val="18"/>
                <w:szCs w:val="18"/>
              </w:rPr>
            </w:pPr>
          </w:p>
          <w:p w:rsidR="002F4C50" w:rsidRPr="00617623" w:rsidRDefault="002F4C50">
            <w:pPr>
              <w:rPr>
                <w:rFonts w:cs="Arial"/>
                <w:sz w:val="18"/>
                <w:szCs w:val="18"/>
              </w:rPr>
            </w:pPr>
          </w:p>
          <w:p w:rsidR="00A56CF9" w:rsidRPr="00617623" w:rsidRDefault="00A56CF9">
            <w:pPr>
              <w:rPr>
                <w:rFonts w:cs="Arial"/>
                <w:sz w:val="18"/>
                <w:szCs w:val="18"/>
              </w:rPr>
            </w:pPr>
            <w:r w:rsidRPr="00617623">
              <w:rPr>
                <w:rFonts w:cs="Arial"/>
                <w:sz w:val="18"/>
                <w:szCs w:val="18"/>
              </w:rPr>
              <w:t>2.3   Agriculture – Prime Agricultural areas shall be protected for long-term use for agriculture</w:t>
            </w:r>
            <w:r>
              <w:rPr>
                <w:rFonts w:cs="Arial"/>
                <w:sz w:val="18"/>
                <w:szCs w:val="18"/>
              </w:rPr>
              <w:t xml:space="preserve"> </w:t>
            </w:r>
          </w:p>
        </w:tc>
        <w:tc>
          <w:tcPr>
            <w:tcW w:w="8100" w:type="dxa"/>
            <w:tcBorders>
              <w:top w:val="dotted" w:sz="4" w:space="0" w:color="auto"/>
            </w:tcBorders>
          </w:tcPr>
          <w:p w:rsidR="00A56CF9" w:rsidRPr="000F68CF" w:rsidRDefault="00A56CF9">
            <w:pPr>
              <w:pStyle w:val="EnvelopeReturn"/>
              <w:rPr>
                <w:rFonts w:ascii="Arial" w:hAnsi="Arial" w:cs="Arial"/>
                <w:sz w:val="18"/>
                <w:szCs w:val="18"/>
              </w:rPr>
            </w:pPr>
          </w:p>
          <w:p w:rsidR="00A56CF9" w:rsidRPr="000F68CF" w:rsidRDefault="00C41443" w:rsidP="000F68CF">
            <w:pPr>
              <w:pStyle w:val="EnvelopeReturn"/>
              <w:rPr>
                <w:rFonts w:ascii="Arial" w:hAnsi="Arial" w:cs="Arial"/>
                <w:sz w:val="18"/>
                <w:szCs w:val="18"/>
              </w:rPr>
            </w:pPr>
            <w:r>
              <w:rPr>
                <w:rFonts w:ascii="Arial" w:hAnsi="Arial" w:cs="Arial"/>
                <w:sz w:val="18"/>
                <w:szCs w:val="18"/>
              </w:rPr>
              <w:t>Winery protects the agricultural use of the land.</w:t>
            </w:r>
            <w:r w:rsidR="000F68CF" w:rsidRPr="000F68CF">
              <w:rPr>
                <w:rFonts w:ascii="Arial" w:hAnsi="Arial" w:cs="Arial"/>
                <w:sz w:val="18"/>
                <w:szCs w:val="18"/>
              </w:rPr>
              <w:t xml:space="preserve"> </w:t>
            </w:r>
          </w:p>
        </w:tc>
      </w:tr>
      <w:tr w:rsidR="00A56CF9" w:rsidRPr="00617623" w:rsidTr="0003366F">
        <w:tc>
          <w:tcPr>
            <w:tcW w:w="14580" w:type="dxa"/>
            <w:tcBorders>
              <w:top w:val="dotted" w:sz="4" w:space="0" w:color="auto"/>
            </w:tcBorders>
            <w:vAlign w:val="center"/>
          </w:tcPr>
          <w:p w:rsidR="00A56CF9" w:rsidRPr="00617623" w:rsidRDefault="00A56CF9">
            <w:pPr>
              <w:rPr>
                <w:rFonts w:cs="Arial"/>
                <w:sz w:val="18"/>
                <w:szCs w:val="18"/>
              </w:rPr>
            </w:pPr>
          </w:p>
          <w:p w:rsidR="00A56CF9" w:rsidRPr="00617623" w:rsidRDefault="00A56CF9">
            <w:pPr>
              <w:rPr>
                <w:rFonts w:cs="Arial"/>
                <w:sz w:val="18"/>
                <w:szCs w:val="18"/>
              </w:rPr>
            </w:pPr>
            <w:r w:rsidRPr="00617623">
              <w:rPr>
                <w:rFonts w:cs="Arial"/>
                <w:sz w:val="18"/>
                <w:szCs w:val="18"/>
              </w:rPr>
              <w:t>2.4   Minerals and Petroleum – Minerals and petroleum resources shall be protected for long-term use</w:t>
            </w:r>
          </w:p>
        </w:tc>
        <w:tc>
          <w:tcPr>
            <w:tcW w:w="8100" w:type="dxa"/>
            <w:tcBorders>
              <w:top w:val="dotted" w:sz="4" w:space="0" w:color="auto"/>
            </w:tcBorders>
          </w:tcPr>
          <w:p w:rsidR="00A56CF9" w:rsidRPr="00165FE6" w:rsidRDefault="00A56CF9">
            <w:pPr>
              <w:pStyle w:val="EnvelopeReturn"/>
              <w:rPr>
                <w:rFonts w:ascii="Arial" w:hAnsi="Arial" w:cs="Arial"/>
                <w:sz w:val="18"/>
                <w:szCs w:val="18"/>
              </w:rPr>
            </w:pPr>
          </w:p>
          <w:p w:rsidR="00A56CF9" w:rsidRPr="00165FE6" w:rsidRDefault="00A56CF9">
            <w:pPr>
              <w:pStyle w:val="EnvelopeReturn"/>
              <w:rPr>
                <w:rFonts w:ascii="Arial" w:hAnsi="Arial" w:cs="Arial"/>
                <w:sz w:val="18"/>
                <w:szCs w:val="18"/>
              </w:rPr>
            </w:pPr>
            <w:r w:rsidRPr="00165FE6">
              <w:rPr>
                <w:rFonts w:ascii="Arial" w:hAnsi="Arial" w:cs="Arial"/>
                <w:sz w:val="18"/>
                <w:szCs w:val="18"/>
              </w:rPr>
              <w:t>Minerals and petroleum not identified on site.</w:t>
            </w:r>
          </w:p>
        </w:tc>
      </w:tr>
      <w:tr w:rsidR="00A56CF9" w:rsidRPr="00617623" w:rsidTr="0003366F">
        <w:tc>
          <w:tcPr>
            <w:tcW w:w="14580" w:type="dxa"/>
            <w:tcBorders>
              <w:top w:val="dotted" w:sz="4" w:space="0" w:color="auto"/>
              <w:bottom w:val="dotted" w:sz="4" w:space="0" w:color="auto"/>
            </w:tcBorders>
          </w:tcPr>
          <w:p w:rsidR="00A56CF9" w:rsidRPr="00617623" w:rsidRDefault="00A56CF9" w:rsidP="000E1808">
            <w:pPr>
              <w:rPr>
                <w:rFonts w:cs="Arial"/>
                <w:sz w:val="18"/>
                <w:szCs w:val="18"/>
              </w:rPr>
            </w:pPr>
          </w:p>
          <w:p w:rsidR="00A56CF9" w:rsidRPr="00617623" w:rsidRDefault="00A56CF9" w:rsidP="00FC0833">
            <w:pPr>
              <w:numPr>
                <w:ilvl w:val="1"/>
                <w:numId w:val="7"/>
              </w:numPr>
              <w:rPr>
                <w:rFonts w:cs="Arial"/>
                <w:sz w:val="18"/>
                <w:szCs w:val="18"/>
              </w:rPr>
            </w:pPr>
            <w:r w:rsidRPr="00617623">
              <w:rPr>
                <w:rFonts w:cs="Arial"/>
                <w:sz w:val="18"/>
                <w:szCs w:val="18"/>
              </w:rPr>
              <w:t>Mineral Aggregate Resources – Shall be protected for long-term use</w:t>
            </w:r>
          </w:p>
        </w:tc>
        <w:tc>
          <w:tcPr>
            <w:tcW w:w="8100" w:type="dxa"/>
            <w:tcBorders>
              <w:top w:val="dotted" w:sz="4" w:space="0" w:color="auto"/>
            </w:tcBorders>
          </w:tcPr>
          <w:p w:rsidR="00A56CF9" w:rsidRPr="00165FE6" w:rsidRDefault="00A56CF9">
            <w:pPr>
              <w:pStyle w:val="BodyText"/>
              <w:rPr>
                <w:sz w:val="18"/>
                <w:szCs w:val="18"/>
              </w:rPr>
            </w:pPr>
          </w:p>
          <w:p w:rsidR="00A56CF9" w:rsidRPr="00165FE6" w:rsidRDefault="00A56CF9">
            <w:pPr>
              <w:pStyle w:val="BodyText"/>
              <w:rPr>
                <w:sz w:val="18"/>
                <w:szCs w:val="18"/>
              </w:rPr>
            </w:pPr>
            <w:r w:rsidRPr="00165FE6">
              <w:rPr>
                <w:sz w:val="18"/>
                <w:szCs w:val="18"/>
              </w:rPr>
              <w:t xml:space="preserve">Minerals not identified on site. </w:t>
            </w:r>
          </w:p>
        </w:tc>
      </w:tr>
      <w:tr w:rsidR="004A67F5" w:rsidRPr="00617623" w:rsidTr="0003366F">
        <w:tc>
          <w:tcPr>
            <w:tcW w:w="14580" w:type="dxa"/>
            <w:tcBorders>
              <w:top w:val="dotted" w:sz="4" w:space="0" w:color="auto"/>
              <w:bottom w:val="dotted" w:sz="4" w:space="0" w:color="auto"/>
            </w:tcBorders>
          </w:tcPr>
          <w:p w:rsidR="004A67F5" w:rsidRPr="00617623" w:rsidRDefault="004A67F5">
            <w:pPr>
              <w:rPr>
                <w:rFonts w:cs="Arial"/>
                <w:sz w:val="18"/>
                <w:szCs w:val="18"/>
              </w:rPr>
            </w:pPr>
          </w:p>
          <w:p w:rsidR="004A67F5" w:rsidRPr="00617623" w:rsidRDefault="004A67F5">
            <w:pPr>
              <w:rPr>
                <w:rFonts w:cs="Arial"/>
                <w:sz w:val="18"/>
                <w:szCs w:val="18"/>
              </w:rPr>
            </w:pPr>
            <w:r w:rsidRPr="00617623">
              <w:rPr>
                <w:rFonts w:cs="Arial"/>
                <w:sz w:val="18"/>
                <w:szCs w:val="18"/>
              </w:rPr>
              <w:t>2.6   Cultural Heritage and Archaeology – Significant built heritage resources and significant cultural heritage landscapes shall be conserved</w:t>
            </w:r>
          </w:p>
        </w:tc>
        <w:tc>
          <w:tcPr>
            <w:tcW w:w="8100" w:type="dxa"/>
            <w:tcBorders>
              <w:top w:val="dotted" w:sz="4" w:space="0" w:color="auto"/>
            </w:tcBorders>
          </w:tcPr>
          <w:p w:rsidR="0007037F" w:rsidRPr="000F68CF" w:rsidRDefault="0007037F" w:rsidP="004A67F5">
            <w:pPr>
              <w:pStyle w:val="BodyText"/>
              <w:rPr>
                <w:sz w:val="18"/>
                <w:szCs w:val="18"/>
              </w:rPr>
            </w:pPr>
          </w:p>
          <w:p w:rsidR="004A67F5" w:rsidRPr="000F68CF" w:rsidRDefault="00C41443" w:rsidP="00C41443">
            <w:pPr>
              <w:pStyle w:val="BodyText"/>
              <w:rPr>
                <w:sz w:val="18"/>
                <w:szCs w:val="18"/>
              </w:rPr>
            </w:pPr>
            <w:r>
              <w:rPr>
                <w:sz w:val="18"/>
                <w:szCs w:val="18"/>
              </w:rPr>
              <w:t xml:space="preserve">The </w:t>
            </w:r>
            <w:proofErr w:type="gramStart"/>
            <w:r>
              <w:rPr>
                <w:sz w:val="18"/>
                <w:szCs w:val="18"/>
              </w:rPr>
              <w:t xml:space="preserve">winery </w:t>
            </w:r>
            <w:r w:rsidRPr="00C41443">
              <w:rPr>
                <w:sz w:val="18"/>
                <w:szCs w:val="18"/>
              </w:rPr>
              <w:t xml:space="preserve"> will</w:t>
            </w:r>
            <w:proofErr w:type="gramEnd"/>
            <w:r w:rsidRPr="00C41443">
              <w:rPr>
                <w:sz w:val="18"/>
                <w:szCs w:val="18"/>
              </w:rPr>
              <w:t xml:space="preserve"> conserve significant heritage resources and significant cultural heritage landscapes. </w:t>
            </w:r>
            <w:r>
              <w:rPr>
                <w:sz w:val="18"/>
                <w:szCs w:val="18"/>
              </w:rPr>
              <w:t>An archaeological assessment has previously been completed on the site.</w:t>
            </w:r>
          </w:p>
        </w:tc>
      </w:tr>
      <w:tr w:rsidR="004A67F5" w:rsidRPr="00154329" w:rsidTr="0003366F">
        <w:tc>
          <w:tcPr>
            <w:tcW w:w="14580" w:type="dxa"/>
            <w:tcBorders>
              <w:top w:val="dotted" w:sz="4" w:space="0" w:color="auto"/>
              <w:bottom w:val="dotted" w:sz="4" w:space="0" w:color="auto"/>
              <w:right w:val="nil"/>
            </w:tcBorders>
            <w:shd w:val="clear" w:color="auto" w:fill="E6E6E6"/>
            <w:vAlign w:val="center"/>
          </w:tcPr>
          <w:p w:rsidR="004A67F5" w:rsidRPr="00154329" w:rsidRDefault="004A67F5">
            <w:pPr>
              <w:rPr>
                <w:rFonts w:cs="Arial"/>
                <w:b/>
                <w:bCs/>
                <w:sz w:val="18"/>
                <w:szCs w:val="18"/>
              </w:rPr>
            </w:pPr>
          </w:p>
          <w:p w:rsidR="004A67F5" w:rsidRPr="00154329" w:rsidRDefault="004A67F5">
            <w:pPr>
              <w:rPr>
                <w:rFonts w:cs="Arial"/>
                <w:b/>
                <w:bCs/>
                <w:sz w:val="18"/>
                <w:szCs w:val="18"/>
              </w:rPr>
            </w:pPr>
            <w:r w:rsidRPr="00154329">
              <w:rPr>
                <w:rFonts w:cs="Arial"/>
                <w:b/>
                <w:bCs/>
                <w:sz w:val="18"/>
                <w:szCs w:val="18"/>
              </w:rPr>
              <w:t>3.   PROTECTING PUBLIC HEALTH AND SAFETY</w:t>
            </w:r>
          </w:p>
        </w:tc>
        <w:tc>
          <w:tcPr>
            <w:tcW w:w="8100" w:type="dxa"/>
            <w:tcBorders>
              <w:top w:val="dotted" w:sz="4" w:space="0" w:color="auto"/>
              <w:left w:val="nil"/>
            </w:tcBorders>
            <w:shd w:val="clear" w:color="auto" w:fill="E6E6E6"/>
            <w:vAlign w:val="center"/>
          </w:tcPr>
          <w:p w:rsidR="004A67F5" w:rsidRPr="008256FD" w:rsidRDefault="004A67F5">
            <w:pPr>
              <w:rPr>
                <w:rFonts w:cs="Arial"/>
                <w:b/>
                <w:bCs/>
                <w:sz w:val="18"/>
                <w:szCs w:val="18"/>
                <w:highlight w:val="yellow"/>
              </w:rPr>
            </w:pPr>
          </w:p>
        </w:tc>
      </w:tr>
      <w:tr w:rsidR="004A67F5" w:rsidRPr="00617623" w:rsidTr="0003366F">
        <w:tc>
          <w:tcPr>
            <w:tcW w:w="14580" w:type="dxa"/>
            <w:tcBorders>
              <w:top w:val="dotted" w:sz="4" w:space="0" w:color="auto"/>
            </w:tcBorders>
            <w:vAlign w:val="center"/>
          </w:tcPr>
          <w:p w:rsidR="004A67F5" w:rsidRPr="00617623" w:rsidRDefault="004A67F5" w:rsidP="000F259F">
            <w:pPr>
              <w:ind w:left="522" w:hanging="522"/>
              <w:rPr>
                <w:rFonts w:cs="Arial"/>
                <w:sz w:val="18"/>
                <w:szCs w:val="18"/>
              </w:rPr>
            </w:pPr>
          </w:p>
          <w:p w:rsidR="004A67F5" w:rsidRPr="00617623" w:rsidRDefault="004A67F5" w:rsidP="00914571">
            <w:pPr>
              <w:ind w:left="396" w:hanging="396"/>
              <w:rPr>
                <w:rFonts w:cs="Arial"/>
                <w:sz w:val="18"/>
                <w:szCs w:val="18"/>
              </w:rPr>
            </w:pPr>
            <w:r w:rsidRPr="00617623">
              <w:rPr>
                <w:rFonts w:cs="Arial"/>
                <w:sz w:val="18"/>
                <w:szCs w:val="18"/>
              </w:rPr>
              <w:t xml:space="preserve">3.1   Natural Hazards </w:t>
            </w:r>
            <w:r w:rsidRPr="00617623">
              <w:rPr>
                <w:rFonts w:cs="Arial"/>
                <w:iCs/>
                <w:sz w:val="18"/>
                <w:szCs w:val="18"/>
              </w:rPr>
              <w:t>– Development will generally be directed to areas outside of: hazardous lands adjacent to shorelines of the Great Lakes-St Lawrence River System and large inland lakes; hazardous lands; hazardous sites</w:t>
            </w:r>
          </w:p>
        </w:tc>
        <w:tc>
          <w:tcPr>
            <w:tcW w:w="8100" w:type="dxa"/>
          </w:tcPr>
          <w:p w:rsidR="004A67F5" w:rsidRPr="00165FE6" w:rsidRDefault="004A67F5">
            <w:pPr>
              <w:rPr>
                <w:rFonts w:cs="Arial"/>
                <w:sz w:val="18"/>
                <w:szCs w:val="18"/>
              </w:rPr>
            </w:pPr>
          </w:p>
          <w:p w:rsidR="004A67F5" w:rsidRPr="00165FE6" w:rsidRDefault="004A67F5">
            <w:pPr>
              <w:rPr>
                <w:rFonts w:cs="Arial"/>
                <w:sz w:val="18"/>
                <w:szCs w:val="18"/>
              </w:rPr>
            </w:pPr>
          </w:p>
          <w:p w:rsidR="004A67F5" w:rsidRPr="00165FE6" w:rsidRDefault="004A67F5">
            <w:pPr>
              <w:rPr>
                <w:rFonts w:cs="Arial"/>
                <w:sz w:val="18"/>
                <w:szCs w:val="18"/>
              </w:rPr>
            </w:pPr>
            <w:r w:rsidRPr="00165FE6">
              <w:rPr>
                <w:rFonts w:cs="Arial"/>
                <w:sz w:val="18"/>
                <w:szCs w:val="18"/>
              </w:rPr>
              <w:t>This property is not in an area associated with natural hazards.</w:t>
            </w:r>
          </w:p>
        </w:tc>
      </w:tr>
      <w:tr w:rsidR="004A67F5" w:rsidRPr="00617623" w:rsidTr="0003366F">
        <w:trPr>
          <w:trHeight w:val="693"/>
        </w:trPr>
        <w:tc>
          <w:tcPr>
            <w:tcW w:w="14580" w:type="dxa"/>
            <w:tcBorders>
              <w:top w:val="dotted" w:sz="4" w:space="0" w:color="auto"/>
            </w:tcBorders>
            <w:vAlign w:val="center"/>
          </w:tcPr>
          <w:p w:rsidR="00545089" w:rsidRPr="00545089" w:rsidRDefault="00545089" w:rsidP="00545089">
            <w:pPr>
              <w:jc w:val="both"/>
              <w:rPr>
                <w:rFonts w:cs="Arial"/>
                <w:iCs/>
                <w:sz w:val="18"/>
                <w:szCs w:val="18"/>
              </w:rPr>
            </w:pPr>
          </w:p>
          <w:p w:rsidR="004A67F5" w:rsidRPr="00757840" w:rsidRDefault="004A67F5" w:rsidP="00184A60">
            <w:pPr>
              <w:numPr>
                <w:ilvl w:val="0"/>
                <w:numId w:val="11"/>
              </w:numPr>
              <w:jc w:val="both"/>
              <w:rPr>
                <w:rFonts w:cs="Arial"/>
                <w:iCs/>
                <w:sz w:val="18"/>
                <w:szCs w:val="18"/>
              </w:rPr>
            </w:pPr>
            <w:r w:rsidRPr="00617623">
              <w:rPr>
                <w:rFonts w:cs="Arial"/>
                <w:sz w:val="18"/>
                <w:szCs w:val="18"/>
              </w:rPr>
              <w:t xml:space="preserve">Human-Made Hazards </w:t>
            </w:r>
            <w:r w:rsidRPr="00617623">
              <w:rPr>
                <w:rFonts w:cs="Arial"/>
                <w:iCs/>
                <w:sz w:val="18"/>
                <w:szCs w:val="18"/>
              </w:rPr>
              <w:t>– Development on, abutting or adjacent to lands affected by mine hazards, oil, gas salt hazards or former mineral resource operations will be permitted only if rehabilitation measures to address and mitigate known or suspected hazards are under-way or have been completed.  Contaminated sites shall be re-mediated as necessary prior to any activity on site.</w:t>
            </w:r>
            <w:r>
              <w:rPr>
                <w:rFonts w:cs="Arial"/>
                <w:iCs/>
                <w:sz w:val="18"/>
                <w:szCs w:val="18"/>
              </w:rPr>
              <w:t xml:space="preserve"> </w:t>
            </w:r>
            <w:r w:rsidR="0034501B">
              <w:rPr>
                <w:rFonts w:cs="Arial"/>
                <w:iCs/>
                <w:sz w:val="18"/>
                <w:szCs w:val="18"/>
              </w:rPr>
              <w:t xml:space="preserve">  </w:t>
            </w:r>
            <w:r w:rsidR="00184A60">
              <w:rPr>
                <w:rFonts w:cs="Arial"/>
                <w:iCs/>
                <w:sz w:val="18"/>
                <w:szCs w:val="18"/>
              </w:rPr>
              <w:t xml:space="preserve">      </w:t>
            </w:r>
          </w:p>
        </w:tc>
        <w:tc>
          <w:tcPr>
            <w:tcW w:w="8100" w:type="dxa"/>
          </w:tcPr>
          <w:p w:rsidR="004A67F5" w:rsidRPr="00165FE6" w:rsidRDefault="004A67F5">
            <w:pPr>
              <w:rPr>
                <w:rFonts w:cs="Arial"/>
                <w:sz w:val="18"/>
                <w:szCs w:val="18"/>
              </w:rPr>
            </w:pPr>
          </w:p>
          <w:p w:rsidR="00545089" w:rsidRDefault="00545089">
            <w:pPr>
              <w:rPr>
                <w:rFonts w:cs="Arial"/>
                <w:sz w:val="18"/>
                <w:szCs w:val="18"/>
              </w:rPr>
            </w:pPr>
          </w:p>
          <w:p w:rsidR="0003366F" w:rsidRPr="00165FE6" w:rsidRDefault="0003366F">
            <w:pPr>
              <w:rPr>
                <w:rFonts w:cs="Arial"/>
                <w:sz w:val="18"/>
                <w:szCs w:val="18"/>
              </w:rPr>
            </w:pPr>
          </w:p>
          <w:p w:rsidR="004A67F5" w:rsidRPr="00165FE6" w:rsidRDefault="004A67F5">
            <w:pPr>
              <w:rPr>
                <w:rFonts w:cs="Arial"/>
                <w:sz w:val="18"/>
                <w:szCs w:val="18"/>
              </w:rPr>
            </w:pPr>
            <w:r w:rsidRPr="00165FE6">
              <w:rPr>
                <w:rFonts w:cs="Arial"/>
                <w:sz w:val="18"/>
                <w:szCs w:val="18"/>
              </w:rPr>
              <w:t>This property is not in an area associated with human made hazards.</w:t>
            </w:r>
          </w:p>
        </w:tc>
      </w:tr>
    </w:tbl>
    <w:p w:rsidR="00DE4E6E" w:rsidRPr="00617623" w:rsidRDefault="00DE4E6E" w:rsidP="003F1518">
      <w:pPr>
        <w:rPr>
          <w:rFonts w:cs="Arial"/>
          <w:sz w:val="18"/>
          <w:szCs w:val="18"/>
        </w:rPr>
      </w:pPr>
    </w:p>
    <w:sectPr w:rsidR="00DE4E6E" w:rsidRPr="00617623" w:rsidSect="00545089">
      <w:pgSz w:w="24477" w:h="15842" w:orient="landscape" w:code="17"/>
      <w:pgMar w:top="567" w:right="284" w:bottom="284" w:left="28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Chauc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70D8"/>
    <w:multiLevelType w:val="hybridMultilevel"/>
    <w:tmpl w:val="CC1036D0"/>
    <w:lvl w:ilvl="0" w:tplc="A8229BAE">
      <w:numFmt w:val="bullet"/>
      <w:lvlText w:val="-"/>
      <w:lvlJc w:val="left"/>
      <w:pPr>
        <w:tabs>
          <w:tab w:val="num" w:pos="342"/>
        </w:tabs>
        <w:ind w:left="342" w:hanging="360"/>
      </w:pPr>
      <w:rPr>
        <w:rFonts w:ascii="Times New Roman" w:eastAsia="Times New Roman" w:hAnsi="Times New Roman"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1">
    <w:nsid w:val="11730F18"/>
    <w:multiLevelType w:val="hybridMultilevel"/>
    <w:tmpl w:val="410A6A88"/>
    <w:lvl w:ilvl="0" w:tplc="33B2C57C">
      <w:start w:val="905"/>
      <w:numFmt w:val="bullet"/>
      <w:lvlText w:val="-"/>
      <w:lvlJc w:val="left"/>
      <w:pPr>
        <w:tabs>
          <w:tab w:val="num" w:pos="360"/>
        </w:tabs>
        <w:ind w:left="360" w:hanging="360"/>
      </w:pPr>
      <w:rPr>
        <w:rFonts w:ascii="Times New Roman" w:eastAsia="Times New Roman" w:hAnsi="Times New Roman" w:cs="Times New Roman" w:hint="default"/>
      </w:rPr>
    </w:lvl>
    <w:lvl w:ilvl="1" w:tplc="8C120ED2">
      <w:start w:val="1"/>
      <w:numFmt w:val="bullet"/>
      <w:lvlText w:val=""/>
      <w:lvlJc w:val="left"/>
      <w:pPr>
        <w:tabs>
          <w:tab w:val="num" w:pos="1080"/>
        </w:tabs>
        <w:ind w:left="1080" w:hanging="360"/>
      </w:pPr>
      <w:rPr>
        <w:rFonts w:ascii="Symbol" w:hAnsi="Symbol" w:hint="default"/>
        <w:b w:val="0"/>
        <w:i w:val="0"/>
        <w:color w:val="000000"/>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2D74EEC"/>
    <w:multiLevelType w:val="multilevel"/>
    <w:tmpl w:val="777A1F66"/>
    <w:lvl w:ilvl="0">
      <w:start w:val="1"/>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BEC2D7A"/>
    <w:multiLevelType w:val="hybridMultilevel"/>
    <w:tmpl w:val="9FB8D1AC"/>
    <w:lvl w:ilvl="0" w:tplc="BC662DE0">
      <w:start w:val="1"/>
      <w:numFmt w:val="none"/>
      <w:lvlText w:val="3.2"/>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EB4993"/>
    <w:multiLevelType w:val="multilevel"/>
    <w:tmpl w:val="9176001A"/>
    <w:lvl w:ilvl="0">
      <w:start w:val="2"/>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25E5999"/>
    <w:multiLevelType w:val="multilevel"/>
    <w:tmpl w:val="27A8AEE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FB803A1"/>
    <w:multiLevelType w:val="hybridMultilevel"/>
    <w:tmpl w:val="8580E188"/>
    <w:lvl w:ilvl="0" w:tplc="33B2C5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9959A8"/>
    <w:multiLevelType w:val="hybridMultilevel"/>
    <w:tmpl w:val="8580E188"/>
    <w:lvl w:ilvl="0" w:tplc="FDA2ECE2">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A754C5"/>
    <w:multiLevelType w:val="hybridMultilevel"/>
    <w:tmpl w:val="A156C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9639BF"/>
    <w:multiLevelType w:val="hybridMultilevel"/>
    <w:tmpl w:val="3E349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2E2D87"/>
    <w:multiLevelType w:val="hybridMultilevel"/>
    <w:tmpl w:val="071E6938"/>
    <w:lvl w:ilvl="0" w:tplc="6CA203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
  </w:num>
  <w:num w:numId="4">
    <w:abstractNumId w:val="7"/>
  </w:num>
  <w:num w:numId="5">
    <w:abstractNumId w:val="6"/>
  </w:num>
  <w:num w:numId="6">
    <w:abstractNumId w:val="2"/>
  </w:num>
  <w:num w:numId="7">
    <w:abstractNumId w:val="4"/>
  </w:num>
  <w:num w:numId="8">
    <w:abstractNumId w:val="5"/>
  </w:num>
  <w:num w:numId="9">
    <w:abstractNumId w:val="8"/>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4D057F"/>
    <w:rsid w:val="00010E5A"/>
    <w:rsid w:val="0003366F"/>
    <w:rsid w:val="0004023E"/>
    <w:rsid w:val="000602A6"/>
    <w:rsid w:val="00061238"/>
    <w:rsid w:val="00066AB3"/>
    <w:rsid w:val="00070283"/>
    <w:rsid w:val="0007037F"/>
    <w:rsid w:val="0007192B"/>
    <w:rsid w:val="0008143E"/>
    <w:rsid w:val="00093FE7"/>
    <w:rsid w:val="00094DE8"/>
    <w:rsid w:val="000B6C34"/>
    <w:rsid w:val="000C43A1"/>
    <w:rsid w:val="000C78BB"/>
    <w:rsid w:val="000D79AB"/>
    <w:rsid w:val="000E1808"/>
    <w:rsid w:val="000E6F9E"/>
    <w:rsid w:val="000F1677"/>
    <w:rsid w:val="000F259F"/>
    <w:rsid w:val="000F68CF"/>
    <w:rsid w:val="00102B77"/>
    <w:rsid w:val="00116548"/>
    <w:rsid w:val="00154329"/>
    <w:rsid w:val="001579B1"/>
    <w:rsid w:val="00160B5C"/>
    <w:rsid w:val="00165FE6"/>
    <w:rsid w:val="00171775"/>
    <w:rsid w:val="00173AEB"/>
    <w:rsid w:val="001778CA"/>
    <w:rsid w:val="00184A60"/>
    <w:rsid w:val="001A126F"/>
    <w:rsid w:val="001A1C85"/>
    <w:rsid w:val="001B1D12"/>
    <w:rsid w:val="001B5245"/>
    <w:rsid w:val="001C2310"/>
    <w:rsid w:val="001C431C"/>
    <w:rsid w:val="001E2031"/>
    <w:rsid w:val="001E4036"/>
    <w:rsid w:val="00205EBB"/>
    <w:rsid w:val="00222997"/>
    <w:rsid w:val="0029564C"/>
    <w:rsid w:val="002D4CF4"/>
    <w:rsid w:val="002D51D5"/>
    <w:rsid w:val="002D6024"/>
    <w:rsid w:val="002F4C50"/>
    <w:rsid w:val="00303413"/>
    <w:rsid w:val="0030547D"/>
    <w:rsid w:val="00314A6D"/>
    <w:rsid w:val="0032134F"/>
    <w:rsid w:val="00321DFB"/>
    <w:rsid w:val="003339C7"/>
    <w:rsid w:val="00337A73"/>
    <w:rsid w:val="0034501B"/>
    <w:rsid w:val="00350504"/>
    <w:rsid w:val="00374C95"/>
    <w:rsid w:val="00383CAB"/>
    <w:rsid w:val="003842CF"/>
    <w:rsid w:val="00384906"/>
    <w:rsid w:val="003B5D91"/>
    <w:rsid w:val="003E2901"/>
    <w:rsid w:val="003F1518"/>
    <w:rsid w:val="00403D05"/>
    <w:rsid w:val="00417272"/>
    <w:rsid w:val="00427BBB"/>
    <w:rsid w:val="004337E5"/>
    <w:rsid w:val="0044009A"/>
    <w:rsid w:val="00444B20"/>
    <w:rsid w:val="0046416E"/>
    <w:rsid w:val="004924F3"/>
    <w:rsid w:val="00492EF9"/>
    <w:rsid w:val="004A4269"/>
    <w:rsid w:val="004A67F5"/>
    <w:rsid w:val="004D057F"/>
    <w:rsid w:val="004E494F"/>
    <w:rsid w:val="004F7E2E"/>
    <w:rsid w:val="00501EFE"/>
    <w:rsid w:val="00503FE9"/>
    <w:rsid w:val="005058A0"/>
    <w:rsid w:val="00513A17"/>
    <w:rsid w:val="0051584D"/>
    <w:rsid w:val="00545089"/>
    <w:rsid w:val="00590FB9"/>
    <w:rsid w:val="00595746"/>
    <w:rsid w:val="005A3FD9"/>
    <w:rsid w:val="005C4CA3"/>
    <w:rsid w:val="005D4ADB"/>
    <w:rsid w:val="005E23B3"/>
    <w:rsid w:val="005E40B7"/>
    <w:rsid w:val="005F104A"/>
    <w:rsid w:val="00606ADD"/>
    <w:rsid w:val="00617623"/>
    <w:rsid w:val="00630B35"/>
    <w:rsid w:val="00631884"/>
    <w:rsid w:val="006618B1"/>
    <w:rsid w:val="00671735"/>
    <w:rsid w:val="00683FFF"/>
    <w:rsid w:val="00685487"/>
    <w:rsid w:val="0068780A"/>
    <w:rsid w:val="006B02C9"/>
    <w:rsid w:val="006B1BBE"/>
    <w:rsid w:val="006D58C4"/>
    <w:rsid w:val="006F5023"/>
    <w:rsid w:val="00700B69"/>
    <w:rsid w:val="00713053"/>
    <w:rsid w:val="00722426"/>
    <w:rsid w:val="00726B18"/>
    <w:rsid w:val="00726E24"/>
    <w:rsid w:val="007362DA"/>
    <w:rsid w:val="007420DC"/>
    <w:rsid w:val="00757840"/>
    <w:rsid w:val="00763451"/>
    <w:rsid w:val="00763F74"/>
    <w:rsid w:val="00765FAD"/>
    <w:rsid w:val="00797E94"/>
    <w:rsid w:val="007B6684"/>
    <w:rsid w:val="007C511D"/>
    <w:rsid w:val="007C56E4"/>
    <w:rsid w:val="007F6124"/>
    <w:rsid w:val="008256FD"/>
    <w:rsid w:val="008318FB"/>
    <w:rsid w:val="00833C06"/>
    <w:rsid w:val="008414AC"/>
    <w:rsid w:val="008426E8"/>
    <w:rsid w:val="008451DE"/>
    <w:rsid w:val="008502BA"/>
    <w:rsid w:val="0088085D"/>
    <w:rsid w:val="008944AC"/>
    <w:rsid w:val="008C1313"/>
    <w:rsid w:val="008E7997"/>
    <w:rsid w:val="00914571"/>
    <w:rsid w:val="00921094"/>
    <w:rsid w:val="009212AE"/>
    <w:rsid w:val="0093532D"/>
    <w:rsid w:val="009377FB"/>
    <w:rsid w:val="00945AEE"/>
    <w:rsid w:val="00952564"/>
    <w:rsid w:val="00967A88"/>
    <w:rsid w:val="00981F19"/>
    <w:rsid w:val="009A03E4"/>
    <w:rsid w:val="009A60B9"/>
    <w:rsid w:val="009D2993"/>
    <w:rsid w:val="009E4629"/>
    <w:rsid w:val="00A00273"/>
    <w:rsid w:val="00A04F53"/>
    <w:rsid w:val="00A060F1"/>
    <w:rsid w:val="00A0798A"/>
    <w:rsid w:val="00A56CF9"/>
    <w:rsid w:val="00A86C38"/>
    <w:rsid w:val="00AA4EE1"/>
    <w:rsid w:val="00AB0177"/>
    <w:rsid w:val="00AC555D"/>
    <w:rsid w:val="00AE6481"/>
    <w:rsid w:val="00B01C3F"/>
    <w:rsid w:val="00B126B2"/>
    <w:rsid w:val="00B54037"/>
    <w:rsid w:val="00B604D4"/>
    <w:rsid w:val="00B70A9E"/>
    <w:rsid w:val="00B86745"/>
    <w:rsid w:val="00B900A2"/>
    <w:rsid w:val="00BA7A42"/>
    <w:rsid w:val="00BB0ABA"/>
    <w:rsid w:val="00BB63BA"/>
    <w:rsid w:val="00BB7A73"/>
    <w:rsid w:val="00BC06AD"/>
    <w:rsid w:val="00BC0AED"/>
    <w:rsid w:val="00BD0973"/>
    <w:rsid w:val="00C05ADF"/>
    <w:rsid w:val="00C26FFA"/>
    <w:rsid w:val="00C32923"/>
    <w:rsid w:val="00C36BF6"/>
    <w:rsid w:val="00C41443"/>
    <w:rsid w:val="00C54E93"/>
    <w:rsid w:val="00C630F4"/>
    <w:rsid w:val="00C7521C"/>
    <w:rsid w:val="00C95845"/>
    <w:rsid w:val="00CC3AE1"/>
    <w:rsid w:val="00CD6ADC"/>
    <w:rsid w:val="00D13E4A"/>
    <w:rsid w:val="00D245CD"/>
    <w:rsid w:val="00D25989"/>
    <w:rsid w:val="00D26409"/>
    <w:rsid w:val="00D40B9D"/>
    <w:rsid w:val="00D41A59"/>
    <w:rsid w:val="00D51F34"/>
    <w:rsid w:val="00D70EEF"/>
    <w:rsid w:val="00D83EA1"/>
    <w:rsid w:val="00D928D0"/>
    <w:rsid w:val="00D975E6"/>
    <w:rsid w:val="00DA4456"/>
    <w:rsid w:val="00DB1203"/>
    <w:rsid w:val="00DB63D4"/>
    <w:rsid w:val="00DC1294"/>
    <w:rsid w:val="00DC7A32"/>
    <w:rsid w:val="00DD0062"/>
    <w:rsid w:val="00DE1826"/>
    <w:rsid w:val="00DE4E6E"/>
    <w:rsid w:val="00E04B65"/>
    <w:rsid w:val="00E32D44"/>
    <w:rsid w:val="00E35DE5"/>
    <w:rsid w:val="00E4177B"/>
    <w:rsid w:val="00E46681"/>
    <w:rsid w:val="00E46882"/>
    <w:rsid w:val="00E56753"/>
    <w:rsid w:val="00E6060C"/>
    <w:rsid w:val="00E72612"/>
    <w:rsid w:val="00E74ABA"/>
    <w:rsid w:val="00E76229"/>
    <w:rsid w:val="00E81063"/>
    <w:rsid w:val="00E93712"/>
    <w:rsid w:val="00E95309"/>
    <w:rsid w:val="00E95FA7"/>
    <w:rsid w:val="00E96379"/>
    <w:rsid w:val="00EA070A"/>
    <w:rsid w:val="00EA4177"/>
    <w:rsid w:val="00EB204D"/>
    <w:rsid w:val="00EB6538"/>
    <w:rsid w:val="00EC10FB"/>
    <w:rsid w:val="00ED5756"/>
    <w:rsid w:val="00F26434"/>
    <w:rsid w:val="00F32F6F"/>
    <w:rsid w:val="00F34A38"/>
    <w:rsid w:val="00F47237"/>
    <w:rsid w:val="00F47E62"/>
    <w:rsid w:val="00F714C3"/>
    <w:rsid w:val="00F77648"/>
    <w:rsid w:val="00F86253"/>
    <w:rsid w:val="00F96A5D"/>
    <w:rsid w:val="00F9778B"/>
    <w:rsid w:val="00FB4E0E"/>
    <w:rsid w:val="00FC0833"/>
    <w:rsid w:val="00FD46A2"/>
    <w:rsid w:val="00FD6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05"/>
    <w:rPr>
      <w:rFonts w:ascii="Arial" w:hAnsi="Arial"/>
      <w:sz w:val="24"/>
    </w:rPr>
  </w:style>
  <w:style w:type="paragraph" w:styleId="Heading1">
    <w:name w:val="heading 1"/>
    <w:basedOn w:val="Normal"/>
    <w:next w:val="Normal"/>
    <w:qFormat/>
    <w:rsid w:val="00403D05"/>
    <w:pPr>
      <w:keepNext/>
      <w:jc w:val="right"/>
      <w:outlineLvl w:val="0"/>
    </w:pPr>
    <w:rPr>
      <w:rFonts w:ascii="Arial Black" w:hAnsi="Arial Black"/>
      <w:sz w:val="28"/>
    </w:rPr>
  </w:style>
  <w:style w:type="paragraph" w:styleId="Heading2">
    <w:name w:val="heading 2"/>
    <w:basedOn w:val="Normal"/>
    <w:next w:val="Normal"/>
    <w:qFormat/>
    <w:rsid w:val="00403D05"/>
    <w:pPr>
      <w:keepNext/>
      <w:outlineLvl w:val="1"/>
    </w:pPr>
    <w:rPr>
      <w:rFonts w:cs="Arial"/>
      <w:b/>
      <w:bCs/>
      <w:i/>
      <w:iCs/>
      <w:sz w:val="22"/>
      <w:u w:val="single"/>
    </w:rPr>
  </w:style>
  <w:style w:type="paragraph" w:styleId="Heading3">
    <w:name w:val="heading 3"/>
    <w:basedOn w:val="Normal"/>
    <w:next w:val="Normal"/>
    <w:qFormat/>
    <w:rsid w:val="00403D05"/>
    <w:pPr>
      <w:keepNext/>
      <w:outlineLvl w:val="2"/>
    </w:pPr>
    <w:rPr>
      <w:rFonts w:cs="Arial"/>
      <w:b/>
      <w:bCs/>
      <w:sz w:val="22"/>
    </w:rPr>
  </w:style>
  <w:style w:type="paragraph" w:styleId="Heading4">
    <w:name w:val="heading 4"/>
    <w:basedOn w:val="Normal"/>
    <w:next w:val="Normal"/>
    <w:qFormat/>
    <w:rsid w:val="00403D05"/>
    <w:pPr>
      <w:keepNext/>
      <w:tabs>
        <w:tab w:val="left" w:pos="2070"/>
      </w:tabs>
      <w:ind w:left="720"/>
      <w:jc w:val="both"/>
      <w:outlineLvl w:val="3"/>
    </w:pPr>
    <w:rPr>
      <w:rFonts w:cs="Arial"/>
      <w:b/>
      <w:smallCaps/>
      <w:sz w:val="22"/>
    </w:rPr>
  </w:style>
  <w:style w:type="paragraph" w:styleId="Heading5">
    <w:name w:val="heading 5"/>
    <w:basedOn w:val="Normal"/>
    <w:next w:val="Normal"/>
    <w:qFormat/>
    <w:rsid w:val="00403D05"/>
    <w:pPr>
      <w:keepNext/>
      <w:tabs>
        <w:tab w:val="left" w:pos="-1440"/>
      </w:tabs>
      <w:ind w:left="3600" w:hanging="2160"/>
      <w:jc w:val="both"/>
      <w:outlineLvl w:val="4"/>
    </w:pPr>
    <w:rPr>
      <w:rFonts w:ascii="Univers" w:hAnsi="Univers"/>
      <w:b/>
      <w:small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03D05"/>
  </w:style>
  <w:style w:type="paragraph" w:styleId="EnvelopeReturn">
    <w:name w:val="envelope return"/>
    <w:basedOn w:val="Normal"/>
    <w:rsid w:val="00403D05"/>
    <w:rPr>
      <w:rFonts w:ascii="Chaucer" w:hAnsi="Chaucer"/>
      <w:sz w:val="20"/>
    </w:rPr>
  </w:style>
  <w:style w:type="paragraph" w:styleId="EnvelopeAddress">
    <w:name w:val="envelope address"/>
    <w:basedOn w:val="Normal"/>
    <w:rsid w:val="00403D05"/>
    <w:pPr>
      <w:framePr w:w="7920" w:h="1980" w:hRule="exact" w:hSpace="180" w:wrap="auto" w:hAnchor="page" w:xAlign="center" w:yAlign="bottom"/>
      <w:ind w:left="2880"/>
    </w:pPr>
    <w:rPr>
      <w:rFonts w:ascii="Chaucer" w:hAnsi="Chaucer"/>
      <w:sz w:val="28"/>
    </w:rPr>
  </w:style>
  <w:style w:type="paragraph" w:styleId="BodyTextIndent">
    <w:name w:val="Body Text Indent"/>
    <w:basedOn w:val="Normal"/>
    <w:rsid w:val="00403D05"/>
    <w:pPr>
      <w:ind w:left="-18"/>
    </w:pPr>
    <w:rPr>
      <w:rFonts w:cs="Arial"/>
      <w:sz w:val="22"/>
    </w:rPr>
  </w:style>
  <w:style w:type="paragraph" w:styleId="BodyText">
    <w:name w:val="Body Text"/>
    <w:basedOn w:val="Normal"/>
    <w:rsid w:val="00403D05"/>
    <w:rPr>
      <w:rFonts w:cs="Arial"/>
      <w:sz w:val="22"/>
    </w:rPr>
  </w:style>
  <w:style w:type="paragraph" w:styleId="BodyTextIndent3">
    <w:name w:val="Body Text Indent 3"/>
    <w:basedOn w:val="Normal"/>
    <w:rsid w:val="00403D05"/>
    <w:pPr>
      <w:ind w:left="2160"/>
    </w:pPr>
    <w:rPr>
      <w:rFonts w:cs="Arial"/>
      <w:b/>
      <w:smallCaps/>
    </w:rPr>
  </w:style>
  <w:style w:type="paragraph" w:styleId="BodyTextIndent2">
    <w:name w:val="Body Text Indent 2"/>
    <w:basedOn w:val="Normal"/>
    <w:rsid w:val="00403D05"/>
    <w:pPr>
      <w:tabs>
        <w:tab w:val="left" w:pos="410"/>
        <w:tab w:val="left" w:pos="410"/>
      </w:tabs>
      <w:ind w:left="345" w:hanging="345"/>
      <w:jc w:val="both"/>
    </w:pPr>
    <w:rPr>
      <w:rFonts w:ascii="Univers" w:hAnsi="Univers"/>
      <w:sz w:val="22"/>
      <w:lang w:val="en-GB"/>
    </w:rPr>
  </w:style>
  <w:style w:type="paragraph" w:styleId="Subtitle">
    <w:name w:val="Subtitle"/>
    <w:basedOn w:val="Normal"/>
    <w:qFormat/>
    <w:rsid w:val="00403D05"/>
    <w:pPr>
      <w:ind w:firstLine="1440"/>
      <w:jc w:val="both"/>
    </w:pPr>
    <w:rPr>
      <w:rFonts w:ascii="Univers" w:hAnsi="Univers"/>
      <w:b/>
      <w:smallCaps/>
      <w:sz w:val="16"/>
    </w:rPr>
  </w:style>
  <w:style w:type="paragraph" w:styleId="BalloonText">
    <w:name w:val="Balloon Text"/>
    <w:basedOn w:val="Normal"/>
    <w:semiHidden/>
    <w:rsid w:val="00914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C</vt:lpstr>
    </vt:vector>
  </TitlesOfParts>
  <Company>TOWN OF NIAGARA-ON-THE-LAKE</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PII-333-1</dc:creator>
  <cp:lastModifiedBy>Aaron Butler</cp:lastModifiedBy>
  <cp:revision>5</cp:revision>
  <cp:lastPrinted>2011-06-09T18:50:00Z</cp:lastPrinted>
  <dcterms:created xsi:type="dcterms:W3CDTF">2013-06-10T16:13:00Z</dcterms:created>
  <dcterms:modified xsi:type="dcterms:W3CDTF">2013-06-10T19:45:00Z</dcterms:modified>
</cp:coreProperties>
</file>